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D5" w:rsidRPr="00CB7167" w:rsidRDefault="00C551D5" w:rsidP="00E40F86">
      <w:pPr>
        <w:autoSpaceDE w:val="0"/>
        <w:autoSpaceDN w:val="0"/>
        <w:adjustRightInd w:val="0"/>
        <w:rPr>
          <w:b/>
          <w:bCs/>
          <w:szCs w:val="24"/>
          <w:lang w:eastAsia="en-IE"/>
        </w:rPr>
      </w:pPr>
      <w:bookmarkStart w:id="0" w:name="_Toc371775556"/>
      <w:r>
        <w:rPr>
          <w:b/>
          <w:bCs/>
          <w:szCs w:val="24"/>
          <w:lang w:eastAsia="en-IE"/>
        </w:rPr>
        <w:t>SECOND</w:t>
      </w:r>
      <w:r w:rsidRPr="00CB7167">
        <w:rPr>
          <w:b/>
          <w:bCs/>
          <w:szCs w:val="24"/>
          <w:lang w:eastAsia="en-IE"/>
        </w:rPr>
        <w:t xml:space="preserve"> QUARTER </w:t>
      </w:r>
      <w:r>
        <w:rPr>
          <w:b/>
          <w:bCs/>
          <w:szCs w:val="24"/>
          <w:lang w:eastAsia="en-IE"/>
        </w:rPr>
        <w:t xml:space="preserve">AND SIX MONTHS </w:t>
      </w:r>
      <w:r w:rsidRPr="00CB7167">
        <w:rPr>
          <w:b/>
          <w:bCs/>
          <w:szCs w:val="24"/>
          <w:lang w:eastAsia="en-IE"/>
        </w:rPr>
        <w:t>RESULTS ANNOUNCEMENT</w:t>
      </w:r>
    </w:p>
    <w:p w:rsidR="00C551D5" w:rsidRPr="000C0AAB" w:rsidRDefault="00C551D5" w:rsidP="00C551D5">
      <w:pPr>
        <w:pStyle w:val="ListParagraph"/>
        <w:numPr>
          <w:ilvl w:val="0"/>
          <w:numId w:val="13"/>
        </w:numPr>
        <w:jc w:val="center"/>
        <w:rPr>
          <w:b/>
          <w:bCs/>
          <w:szCs w:val="24"/>
          <w:lang w:eastAsia="en-IE"/>
        </w:rPr>
      </w:pPr>
      <w:r w:rsidRPr="000C0AAB">
        <w:rPr>
          <w:b/>
          <w:bCs/>
          <w:szCs w:val="24"/>
          <w:lang w:eastAsia="en-IE"/>
        </w:rPr>
        <w:t xml:space="preserve">DECEMBER 2013 </w:t>
      </w:r>
    </w:p>
    <w:p w:rsidR="00C551D5" w:rsidRPr="00CB7167" w:rsidRDefault="00C551D5" w:rsidP="00C551D5">
      <w:pPr>
        <w:jc w:val="center"/>
        <w:rPr>
          <w:b/>
          <w:bCs/>
          <w:sz w:val="22"/>
          <w:szCs w:val="22"/>
          <w:lang w:eastAsia="en-IE"/>
        </w:rPr>
      </w:pPr>
    </w:p>
    <w:p w:rsidR="00C551D5" w:rsidRPr="00CB7167" w:rsidRDefault="00676ADE" w:rsidP="00C551D5">
      <w:pPr>
        <w:pStyle w:val="Bulletheadings"/>
        <w:numPr>
          <w:ilvl w:val="0"/>
          <w:numId w:val="10"/>
        </w:numPr>
        <w:spacing w:line="360" w:lineRule="auto"/>
        <w:ind w:left="426" w:right="-28" w:hanging="284"/>
        <w:rPr>
          <w:b/>
          <w:color w:val="auto"/>
          <w:sz w:val="22"/>
          <w:szCs w:val="22"/>
        </w:rPr>
      </w:pPr>
      <w:r>
        <w:rPr>
          <w:b/>
          <w:color w:val="auto"/>
          <w:sz w:val="22"/>
          <w:szCs w:val="22"/>
        </w:rPr>
        <w:t>Financial Results</w:t>
      </w:r>
      <w:r w:rsidR="00C551D5" w:rsidRPr="00CB7167">
        <w:rPr>
          <w:b/>
          <w:color w:val="auto"/>
          <w:sz w:val="22"/>
          <w:szCs w:val="22"/>
        </w:rPr>
        <w:t xml:space="preserve"> Continue to Stabilise</w:t>
      </w:r>
      <w:r w:rsidR="00E715DB">
        <w:rPr>
          <w:b/>
          <w:color w:val="auto"/>
          <w:sz w:val="22"/>
          <w:szCs w:val="22"/>
        </w:rPr>
        <w:t xml:space="preserve"> </w:t>
      </w:r>
      <w:r w:rsidR="00EF00D9">
        <w:rPr>
          <w:b/>
          <w:color w:val="auto"/>
          <w:sz w:val="22"/>
          <w:szCs w:val="22"/>
        </w:rPr>
        <w:t>in the Second Quarter</w:t>
      </w:r>
    </w:p>
    <w:p w:rsidR="00C551D5" w:rsidRPr="00CB7167" w:rsidRDefault="00C551D5" w:rsidP="00676ADE">
      <w:pPr>
        <w:pStyle w:val="Bulletheadings"/>
        <w:numPr>
          <w:ilvl w:val="0"/>
          <w:numId w:val="11"/>
        </w:numPr>
        <w:tabs>
          <w:tab w:val="left" w:pos="426"/>
        </w:tabs>
        <w:spacing w:line="360" w:lineRule="auto"/>
        <w:ind w:right="-28"/>
        <w:rPr>
          <w:b/>
          <w:color w:val="auto"/>
          <w:sz w:val="22"/>
          <w:szCs w:val="22"/>
        </w:rPr>
      </w:pPr>
      <w:r w:rsidRPr="00CB7167">
        <w:rPr>
          <w:b/>
          <w:color w:val="auto"/>
          <w:sz w:val="22"/>
          <w:szCs w:val="22"/>
        </w:rPr>
        <w:t>EBITDA</w:t>
      </w:r>
      <w:r w:rsidRPr="00676ADE">
        <w:rPr>
          <w:rFonts w:ascii="Times New Roman Bold" w:hAnsi="Times New Roman Bold"/>
          <w:b/>
          <w:color w:val="auto"/>
          <w:sz w:val="22"/>
          <w:szCs w:val="22"/>
          <w:vertAlign w:val="superscript"/>
        </w:rPr>
        <w:footnoteReference w:id="1"/>
      </w:r>
      <w:r w:rsidRPr="00CB7167">
        <w:rPr>
          <w:b/>
          <w:color w:val="auto"/>
          <w:sz w:val="22"/>
          <w:szCs w:val="22"/>
        </w:rPr>
        <w:t xml:space="preserve"> </w:t>
      </w:r>
      <w:r w:rsidR="00BD453F">
        <w:rPr>
          <w:b/>
          <w:color w:val="auto"/>
          <w:sz w:val="22"/>
          <w:szCs w:val="22"/>
        </w:rPr>
        <w:t>Decreases 1</w:t>
      </w:r>
      <w:r w:rsidRPr="00CB7167">
        <w:rPr>
          <w:b/>
          <w:color w:val="auto"/>
          <w:sz w:val="22"/>
          <w:szCs w:val="22"/>
        </w:rPr>
        <w:t>%</w:t>
      </w:r>
      <w:r w:rsidRPr="00676ADE">
        <w:rPr>
          <w:rFonts w:ascii="Times New Roman Bold" w:hAnsi="Times New Roman Bold"/>
          <w:b/>
          <w:color w:val="auto"/>
          <w:sz w:val="22"/>
          <w:szCs w:val="22"/>
          <w:vertAlign w:val="superscript"/>
        </w:rPr>
        <w:footnoteReference w:id="2"/>
      </w:r>
      <w:r w:rsidR="000158F2">
        <w:rPr>
          <w:b/>
          <w:color w:val="auto"/>
          <w:sz w:val="22"/>
          <w:szCs w:val="22"/>
        </w:rPr>
        <w:t xml:space="preserve"> </w:t>
      </w:r>
    </w:p>
    <w:p w:rsidR="00C551D5" w:rsidRPr="000C0AAB" w:rsidRDefault="00676ADE" w:rsidP="00C551D5">
      <w:pPr>
        <w:pStyle w:val="Bulletheadings"/>
        <w:numPr>
          <w:ilvl w:val="0"/>
          <w:numId w:val="11"/>
        </w:numPr>
        <w:tabs>
          <w:tab w:val="left" w:pos="426"/>
        </w:tabs>
        <w:spacing w:line="360" w:lineRule="auto"/>
        <w:ind w:right="-28"/>
        <w:rPr>
          <w:b/>
          <w:color w:val="auto"/>
          <w:sz w:val="22"/>
          <w:szCs w:val="22"/>
        </w:rPr>
      </w:pPr>
      <w:r>
        <w:rPr>
          <w:b/>
          <w:color w:val="auto"/>
          <w:sz w:val="22"/>
          <w:szCs w:val="22"/>
        </w:rPr>
        <w:t>Revenue Decreases 5</w:t>
      </w:r>
      <w:r w:rsidR="00C551D5" w:rsidRPr="00CB7167">
        <w:rPr>
          <w:b/>
          <w:color w:val="auto"/>
          <w:sz w:val="22"/>
          <w:szCs w:val="22"/>
        </w:rPr>
        <w:t>%</w:t>
      </w:r>
      <w:r w:rsidR="00C551D5" w:rsidRPr="00CB7167">
        <w:rPr>
          <w:rFonts w:ascii="Times New Roman Bold" w:hAnsi="Times New Roman Bold"/>
          <w:b/>
          <w:color w:val="auto"/>
          <w:sz w:val="22"/>
          <w:szCs w:val="22"/>
          <w:vertAlign w:val="superscript"/>
        </w:rPr>
        <w:t>2</w:t>
      </w:r>
      <w:r w:rsidR="00C551D5">
        <w:rPr>
          <w:rFonts w:ascii="Times New Roman Bold" w:hAnsi="Times New Roman Bold"/>
          <w:b/>
          <w:color w:val="auto"/>
          <w:sz w:val="22"/>
          <w:szCs w:val="22"/>
          <w:vertAlign w:val="superscript"/>
        </w:rPr>
        <w:t xml:space="preserve"> </w:t>
      </w:r>
    </w:p>
    <w:p w:rsidR="00C551D5" w:rsidRPr="00CB7167" w:rsidRDefault="00C55D75" w:rsidP="00C551D5">
      <w:pPr>
        <w:pStyle w:val="Bulletheadings"/>
        <w:numPr>
          <w:ilvl w:val="0"/>
          <w:numId w:val="11"/>
        </w:numPr>
        <w:spacing w:line="360" w:lineRule="auto"/>
        <w:ind w:right="-28"/>
        <w:rPr>
          <w:b/>
          <w:color w:val="auto"/>
          <w:sz w:val="22"/>
          <w:szCs w:val="22"/>
        </w:rPr>
      </w:pPr>
      <w:r>
        <w:rPr>
          <w:b/>
          <w:color w:val="auto"/>
          <w:sz w:val="22"/>
          <w:szCs w:val="22"/>
        </w:rPr>
        <w:t>Cost Transformation on Track , O</w:t>
      </w:r>
      <w:r w:rsidR="00C551D5" w:rsidRPr="00CB7167">
        <w:rPr>
          <w:b/>
          <w:color w:val="auto"/>
          <w:sz w:val="22"/>
          <w:szCs w:val="22"/>
        </w:rPr>
        <w:t>perating Costs</w:t>
      </w:r>
      <w:r w:rsidR="00C551D5" w:rsidRPr="00CB7167">
        <w:rPr>
          <w:rFonts w:ascii="Times New Roman Bold" w:hAnsi="Times New Roman Bold"/>
          <w:b/>
          <w:color w:val="auto"/>
          <w:sz w:val="22"/>
          <w:szCs w:val="22"/>
          <w:vertAlign w:val="superscript"/>
        </w:rPr>
        <w:footnoteReference w:id="3"/>
      </w:r>
      <w:r w:rsidR="00C551D5" w:rsidRPr="00CB7167">
        <w:rPr>
          <w:rFonts w:ascii="Times New Roman Bold" w:hAnsi="Times New Roman Bold"/>
          <w:b/>
          <w:color w:val="auto"/>
          <w:sz w:val="22"/>
          <w:szCs w:val="22"/>
          <w:vertAlign w:val="superscript"/>
        </w:rPr>
        <w:t xml:space="preserve"> </w:t>
      </w:r>
      <w:r w:rsidR="00676ADE">
        <w:rPr>
          <w:b/>
          <w:color w:val="auto"/>
          <w:sz w:val="22"/>
          <w:szCs w:val="22"/>
        </w:rPr>
        <w:t>Reduce</w:t>
      </w:r>
      <w:r w:rsidR="000158F2">
        <w:rPr>
          <w:b/>
          <w:color w:val="auto"/>
          <w:sz w:val="22"/>
          <w:szCs w:val="22"/>
        </w:rPr>
        <w:t xml:space="preserve"> by </w:t>
      </w:r>
      <w:r w:rsidR="00BD453F">
        <w:rPr>
          <w:b/>
          <w:color w:val="auto"/>
          <w:sz w:val="22"/>
          <w:szCs w:val="22"/>
        </w:rPr>
        <w:t>7</w:t>
      </w:r>
      <w:r w:rsidR="00C551D5" w:rsidRPr="00CB7167">
        <w:rPr>
          <w:b/>
          <w:color w:val="auto"/>
          <w:sz w:val="22"/>
          <w:szCs w:val="22"/>
        </w:rPr>
        <w:t>%</w:t>
      </w:r>
      <w:r w:rsidR="00C551D5" w:rsidRPr="00CB7167">
        <w:rPr>
          <w:rFonts w:ascii="Times New Roman Bold" w:hAnsi="Times New Roman Bold"/>
          <w:b/>
          <w:color w:val="auto"/>
          <w:sz w:val="22"/>
          <w:szCs w:val="22"/>
          <w:vertAlign w:val="superscript"/>
        </w:rPr>
        <w:t>2</w:t>
      </w:r>
    </w:p>
    <w:p w:rsidR="00C551D5" w:rsidRDefault="00C551D5" w:rsidP="00C551D5">
      <w:pPr>
        <w:pStyle w:val="Bulletheadings"/>
        <w:numPr>
          <w:ilvl w:val="0"/>
          <w:numId w:val="11"/>
        </w:numPr>
        <w:spacing w:line="360" w:lineRule="auto"/>
        <w:ind w:right="-28"/>
        <w:rPr>
          <w:b/>
          <w:color w:val="auto"/>
          <w:sz w:val="22"/>
          <w:szCs w:val="22"/>
        </w:rPr>
      </w:pPr>
      <w:r>
        <w:rPr>
          <w:b/>
          <w:color w:val="auto"/>
          <w:sz w:val="22"/>
          <w:szCs w:val="22"/>
        </w:rPr>
        <w:t>Group Broadband Base Grows 5%, Third Consecutive Quarter of Growth</w:t>
      </w:r>
    </w:p>
    <w:p w:rsidR="00C551D5" w:rsidRDefault="00C551D5" w:rsidP="00C551D5">
      <w:pPr>
        <w:pStyle w:val="Bulletheadings"/>
        <w:numPr>
          <w:ilvl w:val="0"/>
          <w:numId w:val="10"/>
        </w:numPr>
        <w:spacing w:line="360" w:lineRule="auto"/>
        <w:ind w:left="426" w:right="-28" w:hanging="284"/>
        <w:rPr>
          <w:b/>
          <w:color w:val="auto"/>
          <w:sz w:val="22"/>
          <w:szCs w:val="22"/>
        </w:rPr>
      </w:pPr>
      <w:r>
        <w:rPr>
          <w:b/>
          <w:color w:val="auto"/>
          <w:sz w:val="22"/>
          <w:szCs w:val="22"/>
        </w:rPr>
        <w:t xml:space="preserve">Fibre Network </w:t>
      </w:r>
      <w:r w:rsidR="00DC6014">
        <w:rPr>
          <w:b/>
          <w:color w:val="auto"/>
          <w:sz w:val="22"/>
          <w:szCs w:val="22"/>
        </w:rPr>
        <w:t>Ahead of Schedule:</w:t>
      </w:r>
      <w:r>
        <w:rPr>
          <w:b/>
          <w:color w:val="auto"/>
          <w:sz w:val="22"/>
          <w:szCs w:val="22"/>
        </w:rPr>
        <w:t xml:space="preserve"> 700,000 Premises </w:t>
      </w:r>
      <w:r w:rsidR="00DC6014">
        <w:rPr>
          <w:b/>
          <w:color w:val="auto"/>
          <w:sz w:val="22"/>
          <w:szCs w:val="22"/>
        </w:rPr>
        <w:t>Passed</w:t>
      </w:r>
      <w:r w:rsidRPr="00440C07">
        <w:rPr>
          <w:b/>
          <w:color w:val="FF0000"/>
          <w:sz w:val="22"/>
          <w:szCs w:val="22"/>
        </w:rPr>
        <w:t xml:space="preserve"> </w:t>
      </w:r>
    </w:p>
    <w:p w:rsidR="00C551D5" w:rsidRDefault="00C551D5" w:rsidP="00C551D5">
      <w:pPr>
        <w:pStyle w:val="Bulletheadings"/>
        <w:numPr>
          <w:ilvl w:val="0"/>
          <w:numId w:val="10"/>
        </w:numPr>
        <w:spacing w:line="360" w:lineRule="auto"/>
        <w:ind w:left="426" w:right="-28" w:hanging="284"/>
        <w:rPr>
          <w:b/>
          <w:color w:val="auto"/>
          <w:sz w:val="22"/>
          <w:szCs w:val="22"/>
        </w:rPr>
      </w:pPr>
      <w:r>
        <w:rPr>
          <w:b/>
          <w:color w:val="auto"/>
          <w:sz w:val="22"/>
          <w:szCs w:val="22"/>
        </w:rPr>
        <w:t>4G Reaches 40% Population Coverage</w:t>
      </w:r>
    </w:p>
    <w:p w:rsidR="00676ADE" w:rsidRDefault="00676ADE" w:rsidP="00C551D5">
      <w:pPr>
        <w:pStyle w:val="Bulletheadings"/>
        <w:numPr>
          <w:ilvl w:val="0"/>
          <w:numId w:val="10"/>
        </w:numPr>
        <w:spacing w:line="360" w:lineRule="auto"/>
        <w:ind w:left="426" w:right="-28" w:hanging="284"/>
        <w:rPr>
          <w:b/>
          <w:color w:val="auto"/>
          <w:sz w:val="22"/>
          <w:szCs w:val="22"/>
        </w:rPr>
      </w:pPr>
      <w:r>
        <w:rPr>
          <w:b/>
          <w:color w:val="auto"/>
          <w:sz w:val="22"/>
          <w:szCs w:val="22"/>
        </w:rPr>
        <w:t>Only Operator with Quad Play Capability</w:t>
      </w:r>
    </w:p>
    <w:p w:rsidR="006A51B6" w:rsidRDefault="006A51B6" w:rsidP="006A51B6">
      <w:pPr>
        <w:pStyle w:val="Bulletheadings"/>
        <w:numPr>
          <w:ilvl w:val="0"/>
          <w:numId w:val="10"/>
        </w:numPr>
        <w:spacing w:line="360" w:lineRule="auto"/>
        <w:ind w:left="426" w:right="-28" w:hanging="284"/>
        <w:rPr>
          <w:b/>
          <w:color w:val="auto"/>
          <w:sz w:val="22"/>
          <w:szCs w:val="22"/>
        </w:rPr>
      </w:pPr>
      <w:r>
        <w:rPr>
          <w:b/>
          <w:color w:val="auto"/>
          <w:sz w:val="22"/>
          <w:szCs w:val="22"/>
        </w:rPr>
        <w:t xml:space="preserve">Group </w:t>
      </w:r>
      <w:r w:rsidR="00676ADE">
        <w:rPr>
          <w:b/>
          <w:color w:val="auto"/>
          <w:sz w:val="22"/>
          <w:szCs w:val="22"/>
        </w:rPr>
        <w:t>Seeks</w:t>
      </w:r>
      <w:r>
        <w:rPr>
          <w:b/>
          <w:color w:val="auto"/>
          <w:sz w:val="22"/>
          <w:szCs w:val="22"/>
        </w:rPr>
        <w:t xml:space="preserve"> Amendment and Extension to Senior Loan Facility</w:t>
      </w:r>
    </w:p>
    <w:p w:rsidR="00C551D5" w:rsidRPr="002D2693" w:rsidRDefault="00C551D5" w:rsidP="00C551D5">
      <w:pPr>
        <w:rPr>
          <w:b/>
          <w:bCs/>
          <w:color w:val="FF0000"/>
          <w:sz w:val="22"/>
          <w:szCs w:val="22"/>
          <w:lang w:eastAsia="en-IE"/>
        </w:rPr>
      </w:pPr>
    </w:p>
    <w:p w:rsidR="00C551D5" w:rsidRPr="007A53AB" w:rsidRDefault="00C551D5" w:rsidP="00C551D5">
      <w:pPr>
        <w:jc w:val="both"/>
        <w:rPr>
          <w:sz w:val="22"/>
          <w:szCs w:val="22"/>
        </w:rPr>
      </w:pPr>
      <w:r w:rsidRPr="007A53AB">
        <w:rPr>
          <w:b/>
          <w:sz w:val="22"/>
          <w:szCs w:val="22"/>
        </w:rPr>
        <w:t>(Issued Friday 7 February, 2014)</w:t>
      </w:r>
      <w:r w:rsidRPr="007A53AB">
        <w:rPr>
          <w:sz w:val="22"/>
          <w:szCs w:val="22"/>
        </w:rPr>
        <w:t xml:space="preserve"> eircom Group today announced results for the second quarter and half year ended 31 December 2013. </w:t>
      </w:r>
    </w:p>
    <w:p w:rsidR="00C551D5" w:rsidRPr="007A53AB" w:rsidRDefault="00C551D5" w:rsidP="00C551D5">
      <w:pPr>
        <w:jc w:val="both"/>
        <w:rPr>
          <w:color w:val="FF0000"/>
          <w:sz w:val="22"/>
          <w:szCs w:val="22"/>
        </w:rPr>
      </w:pPr>
    </w:p>
    <w:p w:rsidR="00C551D5" w:rsidRPr="007A53AB" w:rsidRDefault="00C551D5" w:rsidP="007A53AB">
      <w:pPr>
        <w:jc w:val="both"/>
        <w:rPr>
          <w:sz w:val="22"/>
          <w:szCs w:val="22"/>
        </w:rPr>
      </w:pPr>
      <w:r w:rsidRPr="007A53AB">
        <w:rPr>
          <w:sz w:val="22"/>
          <w:szCs w:val="22"/>
        </w:rPr>
        <w:t xml:space="preserve">Commenting on today’s announcement, Herb Hribar, CEO </w:t>
      </w:r>
      <w:proofErr w:type="gramStart"/>
      <w:r w:rsidRPr="007A53AB">
        <w:rPr>
          <w:sz w:val="22"/>
          <w:szCs w:val="22"/>
        </w:rPr>
        <w:t>eircom</w:t>
      </w:r>
      <w:proofErr w:type="gramEnd"/>
      <w:r w:rsidRPr="007A53AB">
        <w:rPr>
          <w:sz w:val="22"/>
          <w:szCs w:val="22"/>
        </w:rPr>
        <w:t xml:space="preserve"> Group, said: “Our second quarter and half year results highlight continued stabilisation in our bottom line and progress on cost reduction. </w:t>
      </w:r>
      <w:r w:rsidR="00EB3D5B" w:rsidRPr="007A53AB">
        <w:rPr>
          <w:sz w:val="22"/>
          <w:szCs w:val="22"/>
        </w:rPr>
        <w:t xml:space="preserve">The macro </w:t>
      </w:r>
      <w:r w:rsidR="00DC6014" w:rsidRPr="007A53AB">
        <w:rPr>
          <w:sz w:val="22"/>
          <w:szCs w:val="22"/>
        </w:rPr>
        <w:t>economy in Ireland is</w:t>
      </w:r>
      <w:r w:rsidRPr="007A53AB">
        <w:rPr>
          <w:sz w:val="22"/>
          <w:szCs w:val="22"/>
        </w:rPr>
        <w:t xml:space="preserve"> demonstrat</w:t>
      </w:r>
      <w:r w:rsidR="00DC6014" w:rsidRPr="007A53AB">
        <w:rPr>
          <w:sz w:val="22"/>
          <w:szCs w:val="22"/>
        </w:rPr>
        <w:t>ing</w:t>
      </w:r>
      <w:r w:rsidRPr="007A53AB">
        <w:rPr>
          <w:sz w:val="22"/>
          <w:szCs w:val="22"/>
        </w:rPr>
        <w:t xml:space="preserve"> signs of recovery and </w:t>
      </w:r>
      <w:r w:rsidR="00BF409B">
        <w:rPr>
          <w:sz w:val="22"/>
          <w:szCs w:val="22"/>
        </w:rPr>
        <w:t xml:space="preserve">consumer </w:t>
      </w:r>
      <w:r w:rsidRPr="007A53AB">
        <w:rPr>
          <w:sz w:val="22"/>
          <w:szCs w:val="22"/>
        </w:rPr>
        <w:t xml:space="preserve">sentiment is at its brightest since 2007. We remain fully committed to </w:t>
      </w:r>
      <w:r w:rsidR="00EB3D5B" w:rsidRPr="007A53AB">
        <w:rPr>
          <w:sz w:val="22"/>
          <w:szCs w:val="22"/>
        </w:rPr>
        <w:t xml:space="preserve">addressing competitive challenges through </w:t>
      </w:r>
      <w:r w:rsidR="00D358B1" w:rsidRPr="007A53AB">
        <w:rPr>
          <w:sz w:val="22"/>
          <w:szCs w:val="22"/>
        </w:rPr>
        <w:t>continued investment</w:t>
      </w:r>
      <w:r w:rsidRPr="007A53AB">
        <w:rPr>
          <w:sz w:val="22"/>
          <w:szCs w:val="22"/>
        </w:rPr>
        <w:t xml:space="preserve"> in our fixed and mobile networks that enable the commercialisation of a new range of products and services.  </w:t>
      </w:r>
    </w:p>
    <w:p w:rsidR="00C551D5" w:rsidRPr="007A53AB" w:rsidRDefault="00C551D5" w:rsidP="007A53AB">
      <w:pPr>
        <w:jc w:val="both"/>
        <w:rPr>
          <w:sz w:val="22"/>
          <w:szCs w:val="22"/>
        </w:rPr>
      </w:pPr>
    </w:p>
    <w:p w:rsidR="00F5050F" w:rsidRPr="007A53AB" w:rsidRDefault="00F5050F" w:rsidP="00F5050F">
      <w:pPr>
        <w:tabs>
          <w:tab w:val="left" w:pos="5387"/>
        </w:tabs>
        <w:jc w:val="both"/>
        <w:rPr>
          <w:sz w:val="22"/>
          <w:szCs w:val="22"/>
        </w:rPr>
      </w:pPr>
      <w:r w:rsidRPr="007A53AB">
        <w:rPr>
          <w:sz w:val="22"/>
          <w:szCs w:val="22"/>
        </w:rPr>
        <w:t>“The rollout of high speed fibre broadband continued during the quarter, and at the end of December 2013 the fibre footprint had passed 700,000</w:t>
      </w:r>
      <w:r w:rsidRPr="00EA463F">
        <w:rPr>
          <w:sz w:val="22"/>
          <w:szCs w:val="22"/>
          <w:vertAlign w:val="superscript"/>
        </w:rPr>
        <w:footnoteReference w:id="4"/>
      </w:r>
      <w:r w:rsidRPr="007A53AB">
        <w:rPr>
          <w:sz w:val="22"/>
          <w:szCs w:val="22"/>
        </w:rPr>
        <w:t xml:space="preserve"> homes and businesses and we are now on track to pass 1,000,000 premises by </w:t>
      </w:r>
      <w:r w:rsidR="00B80BD6">
        <w:rPr>
          <w:sz w:val="22"/>
          <w:szCs w:val="22"/>
        </w:rPr>
        <w:t>s</w:t>
      </w:r>
      <w:r w:rsidRPr="007A53AB">
        <w:rPr>
          <w:sz w:val="22"/>
          <w:szCs w:val="22"/>
        </w:rPr>
        <w:t xml:space="preserve">ummer 2014. This has been a major driver in the 5% </w:t>
      </w:r>
      <w:r w:rsidR="00920CD5">
        <w:rPr>
          <w:sz w:val="22"/>
          <w:szCs w:val="22"/>
        </w:rPr>
        <w:t xml:space="preserve">year on year </w:t>
      </w:r>
      <w:r w:rsidRPr="007A53AB">
        <w:rPr>
          <w:sz w:val="22"/>
          <w:szCs w:val="22"/>
        </w:rPr>
        <w:t>growth of the group’s broadband base, the third consecutive quarter of growth.  When our fibre rollout is completed in July 2016, 1.4 million</w:t>
      </w:r>
      <w:r>
        <w:rPr>
          <w:sz w:val="22"/>
          <w:szCs w:val="22"/>
        </w:rPr>
        <w:t>,</w:t>
      </w:r>
      <w:r w:rsidRPr="007A53AB">
        <w:rPr>
          <w:sz w:val="22"/>
          <w:szCs w:val="22"/>
        </w:rPr>
        <w:t xml:space="preserve"> or 70%</w:t>
      </w:r>
      <w:r>
        <w:rPr>
          <w:sz w:val="22"/>
          <w:szCs w:val="22"/>
        </w:rPr>
        <w:t>,</w:t>
      </w:r>
      <w:r w:rsidRPr="007A53AB">
        <w:rPr>
          <w:sz w:val="22"/>
          <w:szCs w:val="22"/>
        </w:rPr>
        <w:t xml:space="preserve"> of all homes and businesses in Ireland will have access to high speed broadband. We also continue to roll out our 4G network, which now covers 40% of the population in Ireland. Finally, we remain the only operator in Ireland with the capability to offer a ‘quad play’ of services, including our new </w:t>
      </w:r>
      <w:proofErr w:type="spellStart"/>
      <w:r w:rsidRPr="007A53AB">
        <w:rPr>
          <w:sz w:val="22"/>
          <w:szCs w:val="22"/>
        </w:rPr>
        <w:t>eVision</w:t>
      </w:r>
      <w:proofErr w:type="spellEnd"/>
      <w:r w:rsidRPr="007A53AB">
        <w:rPr>
          <w:sz w:val="22"/>
          <w:szCs w:val="22"/>
        </w:rPr>
        <w:t xml:space="preserve"> IPTV offering.”</w:t>
      </w:r>
    </w:p>
    <w:p w:rsidR="00C551D5" w:rsidRPr="007A53AB" w:rsidRDefault="00C551D5" w:rsidP="007A53AB">
      <w:pPr>
        <w:jc w:val="both"/>
        <w:rPr>
          <w:sz w:val="22"/>
          <w:szCs w:val="22"/>
        </w:rPr>
      </w:pPr>
    </w:p>
    <w:p w:rsidR="002B65ED" w:rsidRDefault="003226A9" w:rsidP="002B65ED">
      <w:pPr>
        <w:jc w:val="both"/>
        <w:rPr>
          <w:sz w:val="22"/>
          <w:szCs w:val="22"/>
        </w:rPr>
      </w:pPr>
      <w:r w:rsidRPr="007A53AB">
        <w:rPr>
          <w:sz w:val="22"/>
          <w:szCs w:val="22"/>
        </w:rPr>
        <w:t>Separately, eircom Group also announced that it is seeking an amendment to the terms of its Senior Loan Facilities Agreement, by extending the tenure of the facility from September 2017 to September 2019. CFO Richard Moat, said, “We believe that improving t</w:t>
      </w:r>
      <w:r w:rsidR="00F153A2">
        <w:rPr>
          <w:sz w:val="22"/>
          <w:szCs w:val="22"/>
        </w:rPr>
        <w:t>he G</w:t>
      </w:r>
      <w:r w:rsidRPr="007A53AB">
        <w:rPr>
          <w:sz w:val="22"/>
          <w:szCs w:val="22"/>
        </w:rPr>
        <w:t>roup’s debt maturity profile is the next step in securing a sustainable and flexible long term capital structure for eircom, at a cost that is attractive to the Group</w:t>
      </w:r>
      <w:r w:rsidR="00D13765">
        <w:rPr>
          <w:sz w:val="22"/>
          <w:szCs w:val="22"/>
        </w:rPr>
        <w:t>.</w:t>
      </w:r>
      <w:r w:rsidR="00E01941">
        <w:rPr>
          <w:sz w:val="22"/>
          <w:szCs w:val="22"/>
        </w:rPr>
        <w:t>”</w:t>
      </w:r>
      <w:r w:rsidR="002B65ED">
        <w:rPr>
          <w:sz w:val="22"/>
          <w:szCs w:val="22"/>
        </w:rPr>
        <w:t xml:space="preserve"> </w:t>
      </w:r>
    </w:p>
    <w:p w:rsidR="00AA7343" w:rsidRPr="007A53AB" w:rsidRDefault="00AA7343" w:rsidP="007A53AB">
      <w:pPr>
        <w:jc w:val="both"/>
        <w:rPr>
          <w:sz w:val="22"/>
          <w:szCs w:val="22"/>
        </w:rPr>
      </w:pPr>
    </w:p>
    <w:p w:rsidR="00C551D5" w:rsidRPr="007A53AB" w:rsidRDefault="00B96414" w:rsidP="007A53AB">
      <w:pPr>
        <w:jc w:val="both"/>
        <w:rPr>
          <w:sz w:val="22"/>
          <w:szCs w:val="22"/>
        </w:rPr>
      </w:pPr>
      <w:r w:rsidRPr="00D22E8F">
        <w:rPr>
          <w:sz w:val="22"/>
          <w:szCs w:val="22"/>
        </w:rPr>
        <w:t>Commenting on the results, CFO Richard Moat</w:t>
      </w:r>
      <w:r>
        <w:rPr>
          <w:sz w:val="22"/>
          <w:szCs w:val="22"/>
        </w:rPr>
        <w:t xml:space="preserve"> said</w:t>
      </w:r>
      <w:r w:rsidRPr="007A53AB">
        <w:rPr>
          <w:sz w:val="22"/>
          <w:szCs w:val="22"/>
        </w:rPr>
        <w:t xml:space="preserve"> </w:t>
      </w:r>
      <w:r w:rsidR="00C551D5" w:rsidRPr="007A53AB">
        <w:rPr>
          <w:sz w:val="22"/>
          <w:szCs w:val="22"/>
        </w:rPr>
        <w:t>“</w:t>
      </w:r>
      <w:r w:rsidR="00F153A2">
        <w:rPr>
          <w:sz w:val="22"/>
          <w:szCs w:val="22"/>
        </w:rPr>
        <w:t>T</w:t>
      </w:r>
      <w:r w:rsidR="00C551D5" w:rsidRPr="007A53AB">
        <w:rPr>
          <w:sz w:val="22"/>
          <w:szCs w:val="22"/>
        </w:rPr>
        <w:t>he Group generated EBITDA</w:t>
      </w:r>
      <w:r w:rsidR="00C551D5" w:rsidRPr="007A53AB">
        <w:rPr>
          <w:rStyle w:val="FootnoteReference"/>
          <w:snapToGrid w:val="0"/>
          <w:sz w:val="22"/>
          <w:szCs w:val="22"/>
        </w:rPr>
        <w:t>1</w:t>
      </w:r>
      <w:r w:rsidR="00C551D5" w:rsidRPr="007A53AB">
        <w:rPr>
          <w:sz w:val="22"/>
          <w:szCs w:val="22"/>
        </w:rPr>
        <w:t xml:space="preserve"> of €233 million for the first half of the financial year,</w:t>
      </w:r>
      <w:r w:rsidR="00D53BDC">
        <w:rPr>
          <w:sz w:val="22"/>
          <w:szCs w:val="22"/>
        </w:rPr>
        <w:t xml:space="preserve"> </w:t>
      </w:r>
      <w:r w:rsidR="00F153A2">
        <w:rPr>
          <w:sz w:val="22"/>
          <w:szCs w:val="22"/>
        </w:rPr>
        <w:t xml:space="preserve">which </w:t>
      </w:r>
      <w:r w:rsidR="00D53BDC">
        <w:rPr>
          <w:sz w:val="22"/>
          <w:szCs w:val="22"/>
        </w:rPr>
        <w:t>is</w:t>
      </w:r>
      <w:r w:rsidR="00C551D5" w:rsidRPr="007A53AB">
        <w:rPr>
          <w:sz w:val="22"/>
          <w:szCs w:val="22"/>
        </w:rPr>
        <w:t xml:space="preserve"> broadly in line with expectations</w:t>
      </w:r>
      <w:r w:rsidR="00E17659" w:rsidRPr="007A53AB">
        <w:rPr>
          <w:sz w:val="22"/>
          <w:szCs w:val="22"/>
        </w:rPr>
        <w:t>,</w:t>
      </w:r>
      <w:r w:rsidR="00C551D5" w:rsidRPr="007A53AB">
        <w:rPr>
          <w:sz w:val="22"/>
          <w:szCs w:val="22"/>
        </w:rPr>
        <w:t xml:space="preserve"> and demonstrates continued stabilisation in business performance.</w:t>
      </w:r>
      <w:r w:rsidR="007C732E" w:rsidRPr="007A53AB">
        <w:rPr>
          <w:sz w:val="22"/>
          <w:szCs w:val="22"/>
        </w:rPr>
        <w:t xml:space="preserve"> In particular, t</w:t>
      </w:r>
      <w:r w:rsidR="00C551D5" w:rsidRPr="007A53AB">
        <w:rPr>
          <w:sz w:val="22"/>
          <w:szCs w:val="22"/>
        </w:rPr>
        <w:t>he profitability of the mobile business continues to improve, despite significant commercial spend in the run up to the Christ</w:t>
      </w:r>
      <w:r w:rsidR="00E17659" w:rsidRPr="007A53AB">
        <w:rPr>
          <w:sz w:val="22"/>
          <w:szCs w:val="22"/>
        </w:rPr>
        <w:t xml:space="preserve">mas period. </w:t>
      </w:r>
      <w:r w:rsidR="007B6B7E" w:rsidRPr="007A53AB">
        <w:rPr>
          <w:sz w:val="22"/>
          <w:szCs w:val="22"/>
        </w:rPr>
        <w:t>While r</w:t>
      </w:r>
      <w:r w:rsidR="00F00B4D" w:rsidRPr="007A53AB">
        <w:rPr>
          <w:sz w:val="22"/>
          <w:szCs w:val="22"/>
        </w:rPr>
        <w:t>evenue dec</w:t>
      </w:r>
      <w:r w:rsidR="007B6B7E" w:rsidRPr="007A53AB">
        <w:rPr>
          <w:sz w:val="22"/>
          <w:szCs w:val="22"/>
        </w:rPr>
        <w:t>reased</w:t>
      </w:r>
      <w:r w:rsidR="00F00B4D" w:rsidRPr="007A53AB">
        <w:rPr>
          <w:sz w:val="22"/>
          <w:szCs w:val="22"/>
        </w:rPr>
        <w:t xml:space="preserve"> by 5% </w:t>
      </w:r>
      <w:r w:rsidR="006B7451" w:rsidRPr="007A53AB">
        <w:rPr>
          <w:sz w:val="22"/>
          <w:szCs w:val="22"/>
        </w:rPr>
        <w:t xml:space="preserve">compared to the prior </w:t>
      </w:r>
      <w:r w:rsidR="00F00B4D" w:rsidRPr="007A53AB">
        <w:rPr>
          <w:sz w:val="22"/>
          <w:szCs w:val="22"/>
        </w:rPr>
        <w:t xml:space="preserve">year </w:t>
      </w:r>
      <w:r w:rsidR="006B7451" w:rsidRPr="007A53AB">
        <w:rPr>
          <w:sz w:val="22"/>
          <w:szCs w:val="22"/>
        </w:rPr>
        <w:t>quarter</w:t>
      </w:r>
      <w:r w:rsidR="007B6B7E" w:rsidRPr="007A53AB">
        <w:rPr>
          <w:sz w:val="22"/>
          <w:szCs w:val="22"/>
        </w:rPr>
        <w:t>,</w:t>
      </w:r>
      <w:r w:rsidR="00F00B4D" w:rsidRPr="007A53AB">
        <w:rPr>
          <w:sz w:val="22"/>
          <w:szCs w:val="22"/>
        </w:rPr>
        <w:t xml:space="preserve"> this reflects a slowdown in the rate of revenue decline</w:t>
      </w:r>
      <w:r w:rsidR="007B6B7E" w:rsidRPr="007A53AB">
        <w:rPr>
          <w:sz w:val="22"/>
          <w:szCs w:val="22"/>
        </w:rPr>
        <w:t xml:space="preserve"> and on</w:t>
      </w:r>
      <w:r w:rsidR="00F00B4D" w:rsidRPr="007A53AB">
        <w:rPr>
          <w:sz w:val="22"/>
          <w:szCs w:val="22"/>
        </w:rPr>
        <w:t xml:space="preserve"> a quarter on </w:t>
      </w:r>
      <w:proofErr w:type="gramStart"/>
      <w:r w:rsidR="00F00B4D" w:rsidRPr="007A53AB">
        <w:rPr>
          <w:sz w:val="22"/>
          <w:szCs w:val="22"/>
        </w:rPr>
        <w:t>quarter</w:t>
      </w:r>
      <w:proofErr w:type="gramEnd"/>
      <w:r w:rsidR="00F00B4D" w:rsidRPr="007A53AB">
        <w:rPr>
          <w:sz w:val="22"/>
          <w:szCs w:val="22"/>
        </w:rPr>
        <w:t xml:space="preserve"> </w:t>
      </w:r>
      <w:r w:rsidR="00BD453F" w:rsidRPr="007A53AB">
        <w:rPr>
          <w:sz w:val="22"/>
          <w:szCs w:val="22"/>
        </w:rPr>
        <w:t>basis revenue has increased by 3</w:t>
      </w:r>
      <w:r w:rsidR="00F00B4D" w:rsidRPr="007A53AB">
        <w:rPr>
          <w:sz w:val="22"/>
          <w:szCs w:val="22"/>
        </w:rPr>
        <w:t xml:space="preserve">%. </w:t>
      </w:r>
    </w:p>
    <w:p w:rsidR="002B0E9A" w:rsidRPr="007A53AB" w:rsidRDefault="002B0E9A" w:rsidP="007A53AB">
      <w:pPr>
        <w:jc w:val="both"/>
        <w:rPr>
          <w:sz w:val="22"/>
          <w:szCs w:val="22"/>
        </w:rPr>
      </w:pPr>
    </w:p>
    <w:p w:rsidR="00C551D5" w:rsidRDefault="00B80BD6" w:rsidP="00C551D5">
      <w:pPr>
        <w:jc w:val="both"/>
        <w:rPr>
          <w:sz w:val="22"/>
          <w:szCs w:val="22"/>
        </w:rPr>
      </w:pPr>
      <w:r w:rsidRPr="007A53AB">
        <w:rPr>
          <w:sz w:val="22"/>
          <w:szCs w:val="22"/>
        </w:rPr>
        <w:t>“Our programme of cost transformation continues. 1</w:t>
      </w:r>
      <w:r w:rsidR="00A1784C">
        <w:rPr>
          <w:sz w:val="22"/>
          <w:szCs w:val="22"/>
        </w:rPr>
        <w:t>,679 employees have exited the G</w:t>
      </w:r>
      <w:r w:rsidRPr="007A53AB">
        <w:rPr>
          <w:sz w:val="22"/>
          <w:szCs w:val="22"/>
        </w:rPr>
        <w:t>roup during the past twelve months, including 840 under the most recent Incentivised Exit s</w:t>
      </w:r>
      <w:r w:rsidR="00A1784C">
        <w:rPr>
          <w:sz w:val="22"/>
          <w:szCs w:val="22"/>
        </w:rPr>
        <w:t>cheme</w:t>
      </w:r>
      <w:r w:rsidRPr="007A53AB">
        <w:rPr>
          <w:sz w:val="22"/>
          <w:szCs w:val="22"/>
        </w:rPr>
        <w:t>. A further 260 FTEs will leave the business by the end of December 2014</w:t>
      </w:r>
      <w:r>
        <w:rPr>
          <w:sz w:val="22"/>
          <w:szCs w:val="22"/>
        </w:rPr>
        <w:t>. In addition to delivering cost savings,</w:t>
      </w:r>
      <w:r w:rsidRPr="007A53AB">
        <w:rPr>
          <w:sz w:val="22"/>
          <w:szCs w:val="22"/>
        </w:rPr>
        <w:t xml:space="preserve"> </w:t>
      </w:r>
      <w:r>
        <w:rPr>
          <w:sz w:val="22"/>
          <w:szCs w:val="22"/>
        </w:rPr>
        <w:t xml:space="preserve">these exits </w:t>
      </w:r>
      <w:r w:rsidRPr="007A53AB">
        <w:rPr>
          <w:sz w:val="22"/>
          <w:szCs w:val="22"/>
        </w:rPr>
        <w:t>ensur</w:t>
      </w:r>
      <w:r>
        <w:rPr>
          <w:sz w:val="22"/>
          <w:szCs w:val="22"/>
        </w:rPr>
        <w:t>e</w:t>
      </w:r>
      <w:r w:rsidRPr="007A53AB">
        <w:rPr>
          <w:sz w:val="22"/>
          <w:szCs w:val="22"/>
        </w:rPr>
        <w:t xml:space="preserve"> we have a flexible</w:t>
      </w:r>
      <w:r>
        <w:rPr>
          <w:sz w:val="22"/>
          <w:szCs w:val="22"/>
        </w:rPr>
        <w:t>,</w:t>
      </w:r>
      <w:r w:rsidRPr="007A53AB">
        <w:rPr>
          <w:sz w:val="22"/>
          <w:szCs w:val="22"/>
        </w:rPr>
        <w:t xml:space="preserve"> fit for</w:t>
      </w:r>
      <w:r>
        <w:rPr>
          <w:sz w:val="22"/>
          <w:szCs w:val="22"/>
        </w:rPr>
        <w:t xml:space="preserve"> purpose organisation. W</w:t>
      </w:r>
      <w:r w:rsidRPr="007A53AB">
        <w:rPr>
          <w:sz w:val="22"/>
          <w:szCs w:val="22"/>
        </w:rPr>
        <w:t>e remain on track to achieve €100 million</w:t>
      </w:r>
      <w:r w:rsidRPr="007A53AB">
        <w:rPr>
          <w:sz w:val="22"/>
          <w:szCs w:val="22"/>
          <w:vertAlign w:val="superscript"/>
        </w:rPr>
        <w:footnoteReference w:id="5"/>
      </w:r>
      <w:r w:rsidRPr="007A53AB">
        <w:rPr>
          <w:sz w:val="22"/>
          <w:szCs w:val="22"/>
        </w:rPr>
        <w:t xml:space="preserve"> in operational cost savings </w:t>
      </w:r>
      <w:r w:rsidRPr="007A53AB">
        <w:rPr>
          <w:sz w:val="22"/>
          <w:szCs w:val="22"/>
        </w:rPr>
        <w:lastRenderedPageBreak/>
        <w:t>on an annualised basis by the fourth quarter of this financial year. To date, we have already delivered €72 million of those targeted cost savings</w:t>
      </w:r>
      <w:r>
        <w:rPr>
          <w:sz w:val="22"/>
          <w:szCs w:val="22"/>
        </w:rPr>
        <w:t xml:space="preserve">. Finally, </w:t>
      </w:r>
      <w:r w:rsidRPr="007A53AB">
        <w:rPr>
          <w:sz w:val="22"/>
          <w:szCs w:val="22"/>
        </w:rPr>
        <w:t xml:space="preserve">I am also pleased to announce today that the Triennial Funding Valuation of the Main Fund eircom Superannuation Scheme will be finalised shortly. The valuation indicates that there is a surplus, and thus no increase </w:t>
      </w:r>
      <w:r>
        <w:rPr>
          <w:sz w:val="22"/>
          <w:szCs w:val="22"/>
        </w:rPr>
        <w:t xml:space="preserve">is </w:t>
      </w:r>
      <w:r w:rsidR="00A043FE">
        <w:rPr>
          <w:sz w:val="22"/>
          <w:szCs w:val="22"/>
        </w:rPr>
        <w:t xml:space="preserve">being made to </w:t>
      </w:r>
      <w:r w:rsidRPr="007A53AB">
        <w:rPr>
          <w:sz w:val="22"/>
          <w:szCs w:val="22"/>
        </w:rPr>
        <w:t xml:space="preserve">the </w:t>
      </w:r>
      <w:r>
        <w:rPr>
          <w:sz w:val="22"/>
          <w:szCs w:val="22"/>
        </w:rPr>
        <w:t>company’s pension contributions.</w:t>
      </w:r>
      <w:r w:rsidRPr="007A53AB">
        <w:rPr>
          <w:sz w:val="22"/>
          <w:szCs w:val="22"/>
        </w:rPr>
        <w:t>”</w:t>
      </w:r>
    </w:p>
    <w:p w:rsidR="00B80BD6" w:rsidRPr="007A53AB" w:rsidRDefault="00B80BD6" w:rsidP="00C551D5">
      <w:pPr>
        <w:jc w:val="both"/>
        <w:rPr>
          <w:sz w:val="22"/>
          <w:szCs w:val="22"/>
        </w:rPr>
      </w:pPr>
    </w:p>
    <w:p w:rsidR="00C551D5" w:rsidRPr="007A53AB" w:rsidRDefault="00C551D5" w:rsidP="00C551D5">
      <w:pPr>
        <w:rPr>
          <w:b/>
          <w:sz w:val="22"/>
          <w:szCs w:val="22"/>
        </w:rPr>
      </w:pPr>
      <w:r w:rsidRPr="007A53AB">
        <w:rPr>
          <w:b/>
          <w:sz w:val="22"/>
          <w:szCs w:val="22"/>
        </w:rPr>
        <w:t>Trading Update</w:t>
      </w:r>
      <w:r w:rsidR="00E715DB" w:rsidRPr="007A53AB">
        <w:rPr>
          <w:b/>
          <w:sz w:val="22"/>
          <w:szCs w:val="22"/>
          <w:vertAlign w:val="superscript"/>
        </w:rPr>
        <w:footnoteReference w:id="6"/>
      </w:r>
    </w:p>
    <w:p w:rsidR="00C551D5" w:rsidRPr="007A53AB" w:rsidRDefault="00C551D5" w:rsidP="00C551D5">
      <w:pPr>
        <w:jc w:val="both"/>
        <w:rPr>
          <w:b/>
          <w:color w:val="FF0000"/>
          <w:sz w:val="22"/>
          <w:szCs w:val="22"/>
        </w:rPr>
      </w:pPr>
    </w:p>
    <w:p w:rsidR="00C551D5" w:rsidRPr="007A53AB" w:rsidRDefault="00C551D5" w:rsidP="007A53AB">
      <w:pPr>
        <w:jc w:val="both"/>
        <w:rPr>
          <w:sz w:val="22"/>
          <w:szCs w:val="22"/>
        </w:rPr>
      </w:pPr>
      <w:r w:rsidRPr="007A53AB">
        <w:rPr>
          <w:sz w:val="22"/>
          <w:szCs w:val="22"/>
        </w:rPr>
        <w:t xml:space="preserve">Revenue for the </w:t>
      </w:r>
      <w:r w:rsidR="001000D0" w:rsidRPr="007A53AB">
        <w:rPr>
          <w:sz w:val="22"/>
          <w:szCs w:val="22"/>
        </w:rPr>
        <w:t xml:space="preserve">quarter </w:t>
      </w:r>
      <w:r w:rsidRPr="007A53AB">
        <w:rPr>
          <w:sz w:val="22"/>
          <w:szCs w:val="22"/>
        </w:rPr>
        <w:t xml:space="preserve">and six months ended 31 December </w:t>
      </w:r>
      <w:proofErr w:type="gramStart"/>
      <w:r w:rsidRPr="007A53AB">
        <w:rPr>
          <w:sz w:val="22"/>
          <w:szCs w:val="22"/>
        </w:rPr>
        <w:t>2013,</w:t>
      </w:r>
      <w:proofErr w:type="gramEnd"/>
      <w:r w:rsidRPr="007A53AB">
        <w:rPr>
          <w:sz w:val="22"/>
          <w:szCs w:val="22"/>
        </w:rPr>
        <w:t xml:space="preserve"> was €33</w:t>
      </w:r>
      <w:r w:rsidR="006A51B6" w:rsidRPr="007A53AB">
        <w:rPr>
          <w:sz w:val="22"/>
          <w:szCs w:val="22"/>
        </w:rPr>
        <w:t>4</w:t>
      </w:r>
      <w:r w:rsidRPr="007A53AB">
        <w:rPr>
          <w:sz w:val="22"/>
          <w:szCs w:val="22"/>
        </w:rPr>
        <w:t xml:space="preserve"> million and €657 million respectively, down</w:t>
      </w:r>
      <w:r w:rsidR="006A51B6" w:rsidRPr="007A53AB">
        <w:rPr>
          <w:sz w:val="22"/>
          <w:szCs w:val="22"/>
        </w:rPr>
        <w:t xml:space="preserve"> 5</w:t>
      </w:r>
      <w:r w:rsidRPr="007A53AB">
        <w:rPr>
          <w:sz w:val="22"/>
          <w:szCs w:val="22"/>
        </w:rPr>
        <w:t>% and 7% respectively, on the corresponding prior year periods. Operating costs</w:t>
      </w:r>
      <w:r w:rsidR="003C0727" w:rsidRPr="007A53AB">
        <w:rPr>
          <w:rStyle w:val="FootnoteReference"/>
          <w:snapToGrid w:val="0"/>
          <w:sz w:val="22"/>
          <w:szCs w:val="22"/>
        </w:rPr>
        <w:t>3</w:t>
      </w:r>
      <w:r w:rsidRPr="007A53AB">
        <w:rPr>
          <w:sz w:val="22"/>
          <w:szCs w:val="22"/>
        </w:rPr>
        <w:t xml:space="preserve"> excluding non-cash items, for the </w:t>
      </w:r>
      <w:r w:rsidR="001000D0" w:rsidRPr="007A53AB">
        <w:rPr>
          <w:sz w:val="22"/>
          <w:szCs w:val="22"/>
        </w:rPr>
        <w:t xml:space="preserve">quarter </w:t>
      </w:r>
      <w:r w:rsidRPr="007A53AB">
        <w:rPr>
          <w:sz w:val="22"/>
          <w:szCs w:val="22"/>
        </w:rPr>
        <w:t xml:space="preserve">and six months ended 31 December </w:t>
      </w:r>
      <w:proofErr w:type="gramStart"/>
      <w:r w:rsidRPr="007A53AB">
        <w:rPr>
          <w:sz w:val="22"/>
          <w:szCs w:val="22"/>
        </w:rPr>
        <w:t>2013,</w:t>
      </w:r>
      <w:proofErr w:type="gramEnd"/>
      <w:r w:rsidRPr="007A53AB">
        <w:rPr>
          <w:sz w:val="22"/>
          <w:szCs w:val="22"/>
        </w:rPr>
        <w:t xml:space="preserve"> were </w:t>
      </w:r>
      <w:r w:rsidR="006A51B6" w:rsidRPr="007A53AB">
        <w:rPr>
          <w:sz w:val="22"/>
          <w:szCs w:val="22"/>
        </w:rPr>
        <w:t>€220</w:t>
      </w:r>
      <w:r w:rsidRPr="007A53AB">
        <w:rPr>
          <w:sz w:val="22"/>
          <w:szCs w:val="22"/>
        </w:rPr>
        <w:t xml:space="preserve"> million and €42</w:t>
      </w:r>
      <w:r w:rsidR="006A51B6" w:rsidRPr="007A53AB">
        <w:rPr>
          <w:sz w:val="22"/>
          <w:szCs w:val="22"/>
        </w:rPr>
        <w:t>4</w:t>
      </w:r>
      <w:r w:rsidRPr="007A53AB">
        <w:rPr>
          <w:sz w:val="22"/>
          <w:szCs w:val="22"/>
        </w:rPr>
        <w:t xml:space="preserve"> million respectively, down </w:t>
      </w:r>
      <w:r w:rsidR="00BD453F" w:rsidRPr="007A53AB">
        <w:rPr>
          <w:sz w:val="22"/>
          <w:szCs w:val="22"/>
        </w:rPr>
        <w:t>€17</w:t>
      </w:r>
      <w:r w:rsidRPr="007A53AB">
        <w:rPr>
          <w:sz w:val="22"/>
          <w:szCs w:val="22"/>
        </w:rPr>
        <w:t xml:space="preserve"> million or </w:t>
      </w:r>
      <w:r w:rsidR="00BD453F" w:rsidRPr="007A53AB">
        <w:rPr>
          <w:sz w:val="22"/>
          <w:szCs w:val="22"/>
        </w:rPr>
        <w:t>7</w:t>
      </w:r>
      <w:r w:rsidRPr="007A53AB">
        <w:rPr>
          <w:sz w:val="22"/>
          <w:szCs w:val="22"/>
        </w:rPr>
        <w:t>% and €</w:t>
      </w:r>
      <w:r w:rsidR="00BD453F" w:rsidRPr="007A53AB">
        <w:rPr>
          <w:sz w:val="22"/>
          <w:szCs w:val="22"/>
        </w:rPr>
        <w:t>48</w:t>
      </w:r>
      <w:r w:rsidRPr="007A53AB">
        <w:rPr>
          <w:sz w:val="22"/>
          <w:szCs w:val="22"/>
        </w:rPr>
        <w:t xml:space="preserve"> million</w:t>
      </w:r>
      <w:r w:rsidR="00BD453F" w:rsidRPr="007A53AB">
        <w:rPr>
          <w:sz w:val="22"/>
          <w:szCs w:val="22"/>
        </w:rPr>
        <w:t xml:space="preserve"> or 10</w:t>
      </w:r>
      <w:r w:rsidRPr="007A53AB">
        <w:rPr>
          <w:sz w:val="22"/>
          <w:szCs w:val="22"/>
        </w:rPr>
        <w:t xml:space="preserve">% </w:t>
      </w:r>
      <w:r w:rsidR="00031ED6">
        <w:rPr>
          <w:sz w:val="22"/>
          <w:szCs w:val="22"/>
        </w:rPr>
        <w:t>on the corresponding prior year period</w:t>
      </w:r>
      <w:r w:rsidRPr="007A53AB">
        <w:rPr>
          <w:sz w:val="22"/>
          <w:szCs w:val="22"/>
        </w:rPr>
        <w:t xml:space="preserve">. </w:t>
      </w:r>
    </w:p>
    <w:p w:rsidR="00C551D5" w:rsidRPr="007A53AB" w:rsidRDefault="00C551D5" w:rsidP="007A53AB">
      <w:pPr>
        <w:jc w:val="both"/>
        <w:rPr>
          <w:sz w:val="22"/>
          <w:szCs w:val="22"/>
        </w:rPr>
      </w:pPr>
    </w:p>
    <w:p w:rsidR="00C551D5" w:rsidRPr="007A53AB" w:rsidRDefault="00C551D5" w:rsidP="007A53AB">
      <w:pPr>
        <w:jc w:val="both"/>
        <w:rPr>
          <w:color w:val="FF0000"/>
          <w:sz w:val="22"/>
          <w:szCs w:val="22"/>
        </w:rPr>
      </w:pPr>
      <w:r w:rsidRPr="007A53AB">
        <w:rPr>
          <w:sz w:val="22"/>
          <w:szCs w:val="22"/>
        </w:rPr>
        <w:t>EBITDA</w:t>
      </w:r>
      <w:r w:rsidRPr="007A53AB">
        <w:rPr>
          <w:b/>
          <w:sz w:val="22"/>
          <w:szCs w:val="22"/>
          <w:vertAlign w:val="superscript"/>
        </w:rPr>
        <w:t>1</w:t>
      </w:r>
      <w:r w:rsidRPr="007A53AB">
        <w:rPr>
          <w:sz w:val="22"/>
          <w:szCs w:val="22"/>
        </w:rPr>
        <w:t xml:space="preserve"> for the quarter and six months ended 31 December 2013 was €114 million and €233 million respectively, down</w:t>
      </w:r>
      <w:r w:rsidR="00C34772" w:rsidRPr="007A53AB">
        <w:rPr>
          <w:sz w:val="22"/>
          <w:szCs w:val="22"/>
        </w:rPr>
        <w:t xml:space="preserve"> 1</w:t>
      </w:r>
      <w:r w:rsidRPr="007A53AB">
        <w:rPr>
          <w:sz w:val="22"/>
          <w:szCs w:val="22"/>
        </w:rPr>
        <w:t>%, compared to the prior year</w:t>
      </w:r>
      <w:r w:rsidR="00C34772" w:rsidRPr="007A53AB">
        <w:rPr>
          <w:sz w:val="22"/>
          <w:szCs w:val="22"/>
        </w:rPr>
        <w:t xml:space="preserve"> periods</w:t>
      </w:r>
      <w:r w:rsidRPr="007A53AB">
        <w:rPr>
          <w:sz w:val="22"/>
          <w:szCs w:val="22"/>
        </w:rPr>
        <w:t>, driven primarily by increased investments in service acquisition costs.  The retail customer base, comprising fixed and mobile customers, stood at 1,95</w:t>
      </w:r>
      <w:r w:rsidR="00C34772" w:rsidRPr="007A53AB">
        <w:rPr>
          <w:sz w:val="22"/>
          <w:szCs w:val="22"/>
        </w:rPr>
        <w:t>7</w:t>
      </w:r>
      <w:r w:rsidRPr="007A53AB">
        <w:rPr>
          <w:sz w:val="22"/>
          <w:szCs w:val="22"/>
        </w:rPr>
        <w:t xml:space="preserve">,000 at 31 December 2013. This </w:t>
      </w:r>
      <w:r w:rsidR="00C34772" w:rsidRPr="007A53AB">
        <w:rPr>
          <w:sz w:val="22"/>
          <w:szCs w:val="22"/>
        </w:rPr>
        <w:t>includes 1,079,</w:t>
      </w:r>
      <w:r w:rsidRPr="007A53AB">
        <w:rPr>
          <w:sz w:val="22"/>
          <w:szCs w:val="22"/>
        </w:rPr>
        <w:t xml:space="preserve">000 mobile customers. The total customer base including </w:t>
      </w:r>
      <w:r w:rsidR="00031ED6">
        <w:rPr>
          <w:sz w:val="22"/>
          <w:szCs w:val="22"/>
        </w:rPr>
        <w:t>w</w:t>
      </w:r>
      <w:r w:rsidR="004342F9">
        <w:rPr>
          <w:sz w:val="22"/>
          <w:szCs w:val="22"/>
        </w:rPr>
        <w:t>holesale customers was</w:t>
      </w:r>
      <w:r w:rsidRPr="007A53AB">
        <w:rPr>
          <w:sz w:val="22"/>
          <w:szCs w:val="22"/>
        </w:rPr>
        <w:t xml:space="preserve"> 2,40</w:t>
      </w:r>
      <w:r w:rsidR="00C34772" w:rsidRPr="007A53AB">
        <w:rPr>
          <w:sz w:val="22"/>
          <w:szCs w:val="22"/>
        </w:rPr>
        <w:t>5</w:t>
      </w:r>
      <w:r w:rsidRPr="007A53AB">
        <w:rPr>
          <w:sz w:val="22"/>
          <w:szCs w:val="22"/>
        </w:rPr>
        <w:t>,000 at 31 December 2013.</w:t>
      </w:r>
    </w:p>
    <w:p w:rsidR="00C551D5" w:rsidRPr="007A53AB" w:rsidRDefault="00C551D5" w:rsidP="007A53AB">
      <w:pPr>
        <w:jc w:val="both"/>
        <w:rPr>
          <w:color w:val="FF0000"/>
          <w:sz w:val="22"/>
          <w:szCs w:val="22"/>
        </w:rPr>
      </w:pPr>
    </w:p>
    <w:p w:rsidR="00C551D5" w:rsidRPr="007A53AB" w:rsidRDefault="00C551D5" w:rsidP="007A53AB">
      <w:pPr>
        <w:jc w:val="both"/>
        <w:rPr>
          <w:sz w:val="22"/>
          <w:szCs w:val="22"/>
        </w:rPr>
      </w:pPr>
      <w:r w:rsidRPr="007A53AB">
        <w:rPr>
          <w:sz w:val="22"/>
          <w:szCs w:val="22"/>
        </w:rPr>
        <w:t>In the fixed line segment, revenues (before intra company eliminations) for the quarter ended and six months ended 31 December 2013, were €251 million and €499 million, respectively, down 9% and 10%, respectively, compared to the corresponding prior year periods. The fixed line revenue decline was partially offset by operating cost savings. Fixed line EBITDA</w:t>
      </w:r>
      <w:r w:rsidRPr="007A53AB">
        <w:rPr>
          <w:rStyle w:val="FootnoteReference"/>
          <w:snapToGrid w:val="0"/>
          <w:sz w:val="22"/>
          <w:szCs w:val="22"/>
        </w:rPr>
        <w:t>1</w:t>
      </w:r>
      <w:r w:rsidRPr="007A53AB">
        <w:rPr>
          <w:sz w:val="22"/>
          <w:szCs w:val="22"/>
        </w:rPr>
        <w:t xml:space="preserve"> for the quarter ended and six months ended 31 December 2013 of €109 million and €220 million, respectively, decreased by </w:t>
      </w:r>
      <w:r w:rsidR="007E6978" w:rsidRPr="007A53AB">
        <w:rPr>
          <w:sz w:val="22"/>
          <w:szCs w:val="22"/>
        </w:rPr>
        <w:t>4</w:t>
      </w:r>
      <w:r w:rsidRPr="007A53AB">
        <w:rPr>
          <w:sz w:val="22"/>
          <w:szCs w:val="22"/>
        </w:rPr>
        <w:t xml:space="preserve">% and 6% respectively compared to the prior year periods. </w:t>
      </w:r>
    </w:p>
    <w:p w:rsidR="00C551D5" w:rsidRPr="007A53AB" w:rsidRDefault="00C551D5" w:rsidP="007A53AB">
      <w:pPr>
        <w:jc w:val="both"/>
        <w:rPr>
          <w:sz w:val="22"/>
          <w:szCs w:val="22"/>
        </w:rPr>
      </w:pPr>
    </w:p>
    <w:p w:rsidR="00C551D5" w:rsidRPr="007A53AB" w:rsidRDefault="00C551D5" w:rsidP="007A53AB">
      <w:pPr>
        <w:jc w:val="both"/>
        <w:rPr>
          <w:sz w:val="22"/>
          <w:szCs w:val="22"/>
        </w:rPr>
      </w:pPr>
      <w:r w:rsidRPr="007A53AB">
        <w:rPr>
          <w:sz w:val="22"/>
          <w:szCs w:val="22"/>
        </w:rPr>
        <w:t xml:space="preserve">Fixed line access net losses, for </w:t>
      </w:r>
      <w:r w:rsidR="00E8745C">
        <w:rPr>
          <w:sz w:val="22"/>
          <w:szCs w:val="22"/>
        </w:rPr>
        <w:t xml:space="preserve">the </w:t>
      </w:r>
      <w:r w:rsidRPr="007A53AB">
        <w:rPr>
          <w:sz w:val="22"/>
          <w:szCs w:val="22"/>
        </w:rPr>
        <w:t>quarter ended and six months ended 31 December 2013, were 1,000</w:t>
      </w:r>
      <w:r w:rsidRPr="007A53AB">
        <w:rPr>
          <w:sz w:val="22"/>
          <w:szCs w:val="22"/>
          <w:vertAlign w:val="superscript"/>
        </w:rPr>
        <w:footnoteReference w:id="7"/>
      </w:r>
      <w:r w:rsidRPr="007A53AB">
        <w:rPr>
          <w:sz w:val="22"/>
          <w:szCs w:val="22"/>
        </w:rPr>
        <w:t xml:space="preserve"> and 5,000 respectively, compared to </w:t>
      </w:r>
      <w:r w:rsidR="00D14B18" w:rsidRPr="007A53AB">
        <w:rPr>
          <w:sz w:val="22"/>
          <w:szCs w:val="22"/>
        </w:rPr>
        <w:t>10,000 and 25</w:t>
      </w:r>
      <w:r w:rsidRPr="007A53AB">
        <w:rPr>
          <w:sz w:val="22"/>
          <w:szCs w:val="22"/>
        </w:rPr>
        <w:t>,000 for the same periods in the prior year. Retail losses of 18,000 and 39,000 for the quarter and six months ended 31 December 2013, were la</w:t>
      </w:r>
      <w:r w:rsidR="00E8745C">
        <w:rPr>
          <w:sz w:val="22"/>
          <w:szCs w:val="22"/>
        </w:rPr>
        <w:t>rgely offset by an increase in w</w:t>
      </w:r>
      <w:r w:rsidRPr="007A53AB">
        <w:rPr>
          <w:sz w:val="22"/>
          <w:szCs w:val="22"/>
        </w:rPr>
        <w:t xml:space="preserve">holesale customers of 17,000 and 34,000 respectively. </w:t>
      </w:r>
    </w:p>
    <w:p w:rsidR="00C551D5" w:rsidRPr="007A53AB" w:rsidRDefault="00C551D5" w:rsidP="007A53AB">
      <w:pPr>
        <w:jc w:val="both"/>
        <w:rPr>
          <w:color w:val="FF0000"/>
          <w:sz w:val="22"/>
          <w:szCs w:val="22"/>
        </w:rPr>
      </w:pPr>
    </w:p>
    <w:p w:rsidR="00C551D5" w:rsidRPr="007A53AB" w:rsidRDefault="00C551D5" w:rsidP="007A53AB">
      <w:pPr>
        <w:jc w:val="both"/>
        <w:rPr>
          <w:sz w:val="22"/>
          <w:szCs w:val="22"/>
        </w:rPr>
      </w:pPr>
      <w:r w:rsidRPr="007A53AB">
        <w:rPr>
          <w:sz w:val="22"/>
          <w:szCs w:val="22"/>
        </w:rPr>
        <w:t>The total Group broadband customer base</w:t>
      </w:r>
      <w:r w:rsidRPr="007A53AB">
        <w:rPr>
          <w:sz w:val="22"/>
          <w:szCs w:val="22"/>
          <w:vertAlign w:val="superscript"/>
        </w:rPr>
        <w:footnoteReference w:id="8"/>
      </w:r>
      <w:r w:rsidRPr="007A53AB">
        <w:rPr>
          <w:sz w:val="22"/>
          <w:szCs w:val="22"/>
          <w:vertAlign w:val="superscript"/>
        </w:rPr>
        <w:t xml:space="preserve"> </w:t>
      </w:r>
      <w:r w:rsidRPr="007A53AB">
        <w:rPr>
          <w:sz w:val="22"/>
          <w:szCs w:val="22"/>
        </w:rPr>
        <w:t>stood at 696,000 at 31 December 2013, an increase</w:t>
      </w:r>
      <w:r w:rsidR="00D14B18" w:rsidRPr="007A53AB">
        <w:rPr>
          <w:sz w:val="22"/>
          <w:szCs w:val="22"/>
        </w:rPr>
        <w:t xml:space="preserve"> of 19,000 in the quarter and 27</w:t>
      </w:r>
      <w:r w:rsidRPr="007A53AB">
        <w:rPr>
          <w:sz w:val="22"/>
          <w:szCs w:val="22"/>
        </w:rPr>
        <w:t xml:space="preserve">,000 in the six months to December, which was </w:t>
      </w:r>
      <w:r w:rsidR="001000D0" w:rsidRPr="007A53AB">
        <w:rPr>
          <w:sz w:val="22"/>
          <w:szCs w:val="22"/>
        </w:rPr>
        <w:t xml:space="preserve">primarily </w:t>
      </w:r>
      <w:r w:rsidRPr="007A53AB">
        <w:rPr>
          <w:sz w:val="22"/>
          <w:szCs w:val="22"/>
        </w:rPr>
        <w:t xml:space="preserve">driven by the Wholesale business. The Retail broadband base returned to growth in the quarter ended 31 December 2013 and broadband lines in our Wholesale business have grown by 15,000 during the quarter and 41,000 compared to 31 December 2012, to a total of 245,000 lines at 31 December 2013. </w:t>
      </w:r>
      <w:proofErr w:type="gramStart"/>
      <w:r w:rsidRPr="007A53AB">
        <w:rPr>
          <w:sz w:val="22"/>
          <w:szCs w:val="22"/>
        </w:rPr>
        <w:t>eircom</w:t>
      </w:r>
      <w:proofErr w:type="gramEnd"/>
      <w:r w:rsidRPr="007A53AB">
        <w:rPr>
          <w:sz w:val="22"/>
          <w:szCs w:val="22"/>
        </w:rPr>
        <w:t xml:space="preserve"> Retail had 451,000 broadband customers at the end of December 2013, a 2% decrease on its retail broadband customer base at the end of December 2012 but up 4,000 since 30 September 2013. At </w:t>
      </w:r>
      <w:r w:rsidR="00581D6E">
        <w:rPr>
          <w:sz w:val="22"/>
          <w:szCs w:val="22"/>
        </w:rPr>
        <w:t>31 December</w:t>
      </w:r>
      <w:r w:rsidRPr="007A53AB">
        <w:rPr>
          <w:sz w:val="22"/>
          <w:szCs w:val="22"/>
        </w:rPr>
        <w:t xml:space="preserve"> 2013, there were 75,000 customers availing of our new fibre based high speed broadband services, over 10% penetration of </w:t>
      </w:r>
      <w:r w:rsidR="00E43945">
        <w:rPr>
          <w:sz w:val="22"/>
          <w:szCs w:val="22"/>
        </w:rPr>
        <w:t>premises</w:t>
      </w:r>
      <w:r w:rsidRPr="007A53AB">
        <w:rPr>
          <w:sz w:val="22"/>
          <w:szCs w:val="22"/>
        </w:rPr>
        <w:t xml:space="preserve"> passed.</w:t>
      </w:r>
    </w:p>
    <w:p w:rsidR="00C551D5" w:rsidRPr="007A53AB" w:rsidRDefault="00C551D5" w:rsidP="007A53AB">
      <w:pPr>
        <w:jc w:val="both"/>
        <w:rPr>
          <w:color w:val="FF0000"/>
          <w:sz w:val="22"/>
          <w:szCs w:val="22"/>
        </w:rPr>
      </w:pPr>
    </w:p>
    <w:p w:rsidR="00292D95" w:rsidRPr="007A53AB" w:rsidRDefault="00C551D5" w:rsidP="007A53AB">
      <w:pPr>
        <w:jc w:val="both"/>
        <w:rPr>
          <w:b/>
          <w:sz w:val="22"/>
          <w:szCs w:val="22"/>
        </w:rPr>
      </w:pPr>
      <w:r w:rsidRPr="007A53AB">
        <w:rPr>
          <w:sz w:val="22"/>
          <w:szCs w:val="22"/>
        </w:rPr>
        <w:t>In the mobile segment, the Group’s customer numbers increased by 21,000 and 19,000 in the quarter and six months ended 31 December 2013, to 1,07</w:t>
      </w:r>
      <w:r w:rsidR="00D14B18" w:rsidRPr="007A53AB">
        <w:rPr>
          <w:sz w:val="22"/>
          <w:szCs w:val="22"/>
        </w:rPr>
        <w:t>9</w:t>
      </w:r>
      <w:r w:rsidRPr="007A53AB">
        <w:rPr>
          <w:sz w:val="22"/>
          <w:szCs w:val="22"/>
        </w:rPr>
        <w:t>,000. There were 46,000 net additions in the higher value postpaid segment during the six months ended 31 December 2013, and compared to 31 December 2012 the postpaid base has grown by 87,000 (includes mobile broadband). The number of postpaid customers now accounts for 37% of the overall base, an increase from</w:t>
      </w:r>
      <w:r w:rsidR="001F5C1D">
        <w:rPr>
          <w:sz w:val="22"/>
          <w:szCs w:val="22"/>
        </w:rPr>
        <w:t xml:space="preserve"> 29% at the end of December 2012</w:t>
      </w:r>
      <w:r w:rsidRPr="007A53AB">
        <w:rPr>
          <w:sz w:val="22"/>
          <w:szCs w:val="22"/>
        </w:rPr>
        <w:t xml:space="preserve">. The prepay customer base remained broadly flat at 675,000 compared to 30 September 2013; a strong Christmas performance was offset by challenges in relation to churn. Mobile revenues for the quarter ended and six months ended 31 December 2013 were €94 million and €180 million respectively. Revenue for the quarter ended 31 December 2013 was 1% higher compared to the same prior year period due to strong growth in the higher value </w:t>
      </w:r>
      <w:proofErr w:type="spellStart"/>
      <w:r w:rsidRPr="007A53AB">
        <w:rPr>
          <w:sz w:val="22"/>
          <w:szCs w:val="22"/>
        </w:rPr>
        <w:t>postpay</w:t>
      </w:r>
      <w:proofErr w:type="spellEnd"/>
      <w:r w:rsidRPr="007A53AB">
        <w:rPr>
          <w:sz w:val="22"/>
          <w:szCs w:val="22"/>
        </w:rPr>
        <w:t xml:space="preserve"> base partially offset by</w:t>
      </w:r>
      <w:r w:rsidR="00E8745C">
        <w:rPr>
          <w:sz w:val="22"/>
          <w:szCs w:val="22"/>
        </w:rPr>
        <w:t xml:space="preserve"> prepay churn and lower ARPU</w:t>
      </w:r>
      <w:r w:rsidRPr="007A53AB">
        <w:rPr>
          <w:sz w:val="22"/>
          <w:szCs w:val="22"/>
        </w:rPr>
        <w:t>. Revenue for the six months end</w:t>
      </w:r>
      <w:r w:rsidR="00C96691">
        <w:rPr>
          <w:sz w:val="22"/>
          <w:szCs w:val="22"/>
        </w:rPr>
        <w:t>ed 31 December 2013 was down 2%</w:t>
      </w:r>
      <w:r w:rsidRPr="007A53AB">
        <w:rPr>
          <w:sz w:val="22"/>
          <w:szCs w:val="22"/>
        </w:rPr>
        <w:t xml:space="preserve"> compared to the </w:t>
      </w:r>
      <w:r w:rsidR="001000D0" w:rsidRPr="007A53AB">
        <w:rPr>
          <w:sz w:val="22"/>
          <w:szCs w:val="22"/>
        </w:rPr>
        <w:t>six months</w:t>
      </w:r>
      <w:r w:rsidRPr="007A53AB">
        <w:rPr>
          <w:sz w:val="22"/>
          <w:szCs w:val="22"/>
        </w:rPr>
        <w:t xml:space="preserve"> ended 31 December 2012</w:t>
      </w:r>
      <w:r w:rsidR="00C96691">
        <w:rPr>
          <w:sz w:val="22"/>
          <w:szCs w:val="22"/>
        </w:rPr>
        <w:t>. H</w:t>
      </w:r>
      <w:r w:rsidRPr="007A53AB">
        <w:rPr>
          <w:sz w:val="22"/>
          <w:szCs w:val="22"/>
        </w:rPr>
        <w:t>owever, mobile EBITDA</w:t>
      </w:r>
      <w:r w:rsidRPr="007A53AB">
        <w:rPr>
          <w:sz w:val="22"/>
          <w:szCs w:val="22"/>
          <w:vertAlign w:val="superscript"/>
        </w:rPr>
        <w:t xml:space="preserve">1 </w:t>
      </w:r>
      <w:r w:rsidRPr="007A53AB">
        <w:rPr>
          <w:sz w:val="22"/>
          <w:szCs w:val="22"/>
        </w:rPr>
        <w:t>for the six</w:t>
      </w:r>
      <w:r w:rsidRPr="007A53AB">
        <w:rPr>
          <w:sz w:val="22"/>
          <w:szCs w:val="22"/>
          <w:vertAlign w:val="superscript"/>
        </w:rPr>
        <w:t xml:space="preserve"> </w:t>
      </w:r>
      <w:r w:rsidRPr="007A53AB">
        <w:rPr>
          <w:sz w:val="22"/>
          <w:szCs w:val="22"/>
        </w:rPr>
        <w:t>months ended 31 December 2013 has grown to €1</w:t>
      </w:r>
      <w:r w:rsidR="00D14B18" w:rsidRPr="007A53AB">
        <w:rPr>
          <w:sz w:val="22"/>
          <w:szCs w:val="22"/>
        </w:rPr>
        <w:t>3</w:t>
      </w:r>
      <w:r w:rsidRPr="007A53AB">
        <w:rPr>
          <w:sz w:val="22"/>
          <w:szCs w:val="22"/>
        </w:rPr>
        <w:t xml:space="preserve"> million, up €1</w:t>
      </w:r>
      <w:r w:rsidR="00D14B18" w:rsidRPr="007A53AB">
        <w:rPr>
          <w:sz w:val="22"/>
          <w:szCs w:val="22"/>
        </w:rPr>
        <w:t>0</w:t>
      </w:r>
      <w:r w:rsidRPr="007A53AB">
        <w:rPr>
          <w:sz w:val="22"/>
          <w:szCs w:val="22"/>
        </w:rPr>
        <w:t xml:space="preserve"> million compared to the same prior year period. </w:t>
      </w:r>
    </w:p>
    <w:p w:rsidR="00292D95" w:rsidRPr="00F86597" w:rsidRDefault="00292D95" w:rsidP="00C551D5">
      <w:pPr>
        <w:jc w:val="center"/>
        <w:rPr>
          <w:sz w:val="22"/>
          <w:szCs w:val="22"/>
        </w:rPr>
      </w:pPr>
      <w:r w:rsidRPr="00F86597">
        <w:rPr>
          <w:b/>
          <w:sz w:val="22"/>
          <w:szCs w:val="22"/>
        </w:rPr>
        <w:t>ENDS</w:t>
      </w:r>
    </w:p>
    <w:p w:rsidR="00292D95" w:rsidRPr="002D2693" w:rsidRDefault="00292D95" w:rsidP="00292D95">
      <w:pPr>
        <w:rPr>
          <w:color w:val="FF0000"/>
          <w:sz w:val="22"/>
          <w:szCs w:val="22"/>
        </w:rPr>
      </w:pPr>
    </w:p>
    <w:p w:rsidR="00292D95" w:rsidRPr="002D2693" w:rsidRDefault="00292D95" w:rsidP="00292D95">
      <w:pPr>
        <w:rPr>
          <w:b/>
          <w:i/>
          <w:color w:val="FF0000"/>
          <w:sz w:val="22"/>
          <w:szCs w:val="22"/>
        </w:rPr>
      </w:pPr>
    </w:p>
    <w:p w:rsidR="00292D95" w:rsidRPr="007A53AB" w:rsidRDefault="00292D95" w:rsidP="00292D95">
      <w:pPr>
        <w:rPr>
          <w:b/>
          <w:i/>
          <w:sz w:val="22"/>
          <w:szCs w:val="22"/>
        </w:rPr>
      </w:pPr>
      <w:r w:rsidRPr="007A53AB">
        <w:rPr>
          <w:b/>
          <w:i/>
          <w:sz w:val="22"/>
          <w:szCs w:val="22"/>
        </w:rPr>
        <w:lastRenderedPageBreak/>
        <w:t>For media queries, please contact:</w:t>
      </w:r>
    </w:p>
    <w:p w:rsidR="00292D95" w:rsidRPr="007A53AB" w:rsidRDefault="00292D95" w:rsidP="00292D95">
      <w:pPr>
        <w:rPr>
          <w:sz w:val="22"/>
          <w:szCs w:val="22"/>
        </w:rPr>
      </w:pPr>
    </w:p>
    <w:p w:rsidR="00292D95" w:rsidRPr="007A53AB" w:rsidRDefault="00292D95" w:rsidP="00292D95">
      <w:pPr>
        <w:rPr>
          <w:sz w:val="22"/>
          <w:szCs w:val="22"/>
        </w:rPr>
      </w:pPr>
    </w:p>
    <w:p w:rsidR="00292D95" w:rsidRPr="007A53AB" w:rsidRDefault="00292D95" w:rsidP="00292D95">
      <w:pPr>
        <w:rPr>
          <w:sz w:val="22"/>
          <w:szCs w:val="22"/>
        </w:rPr>
      </w:pPr>
      <w:r w:rsidRPr="007A53AB">
        <w:rPr>
          <w:sz w:val="22"/>
          <w:szCs w:val="22"/>
        </w:rPr>
        <w:t>Paul Bradley</w:t>
      </w:r>
      <w:r w:rsidRPr="007A53AB">
        <w:rPr>
          <w:sz w:val="22"/>
          <w:szCs w:val="22"/>
        </w:rPr>
        <w:tab/>
      </w:r>
      <w:r w:rsidRPr="007A53AB">
        <w:rPr>
          <w:sz w:val="22"/>
          <w:szCs w:val="22"/>
        </w:rPr>
        <w:tab/>
      </w:r>
      <w:r w:rsidRPr="007A53AB">
        <w:rPr>
          <w:sz w:val="22"/>
          <w:szCs w:val="22"/>
        </w:rPr>
        <w:tab/>
      </w:r>
      <w:r w:rsidRPr="007A53AB">
        <w:rPr>
          <w:sz w:val="22"/>
          <w:szCs w:val="22"/>
        </w:rPr>
        <w:tab/>
      </w:r>
      <w:r w:rsidRPr="007A53AB">
        <w:rPr>
          <w:sz w:val="22"/>
          <w:szCs w:val="22"/>
        </w:rPr>
        <w:tab/>
        <w:t xml:space="preserve">Brian Bell </w:t>
      </w:r>
    </w:p>
    <w:p w:rsidR="00292D95" w:rsidRPr="007A53AB" w:rsidRDefault="00292D95" w:rsidP="00292D95">
      <w:pPr>
        <w:rPr>
          <w:sz w:val="22"/>
          <w:szCs w:val="22"/>
        </w:rPr>
      </w:pPr>
      <w:proofErr w:type="gramStart"/>
      <w:r w:rsidRPr="007A53AB">
        <w:rPr>
          <w:sz w:val="22"/>
          <w:szCs w:val="22"/>
        </w:rPr>
        <w:t>eircom</w:t>
      </w:r>
      <w:proofErr w:type="gramEnd"/>
      <w:r w:rsidRPr="007A53AB">
        <w:rPr>
          <w:sz w:val="22"/>
          <w:szCs w:val="22"/>
        </w:rPr>
        <w:tab/>
      </w:r>
      <w:r w:rsidRPr="007A53AB">
        <w:rPr>
          <w:sz w:val="22"/>
          <w:szCs w:val="22"/>
        </w:rPr>
        <w:tab/>
      </w:r>
      <w:r w:rsidRPr="007A53AB">
        <w:rPr>
          <w:sz w:val="22"/>
          <w:szCs w:val="22"/>
        </w:rPr>
        <w:tab/>
      </w:r>
      <w:r w:rsidRPr="007A53AB">
        <w:rPr>
          <w:sz w:val="22"/>
          <w:szCs w:val="22"/>
        </w:rPr>
        <w:tab/>
      </w:r>
      <w:r w:rsidRPr="007A53AB">
        <w:rPr>
          <w:sz w:val="22"/>
          <w:szCs w:val="22"/>
        </w:rPr>
        <w:tab/>
      </w:r>
      <w:r w:rsidRPr="007A53AB">
        <w:rPr>
          <w:sz w:val="22"/>
          <w:szCs w:val="22"/>
        </w:rPr>
        <w:tab/>
        <w:t>WHPR</w:t>
      </w:r>
    </w:p>
    <w:p w:rsidR="00292D95" w:rsidRPr="007A53AB" w:rsidRDefault="00292D95" w:rsidP="00292D95">
      <w:pPr>
        <w:rPr>
          <w:i/>
          <w:sz w:val="22"/>
          <w:szCs w:val="22"/>
        </w:rPr>
      </w:pPr>
      <w:r w:rsidRPr="007A53AB">
        <w:rPr>
          <w:sz w:val="22"/>
          <w:szCs w:val="22"/>
        </w:rPr>
        <w:t xml:space="preserve">Director of Corporate Affairs </w:t>
      </w:r>
      <w:r w:rsidRPr="007A53AB">
        <w:rPr>
          <w:sz w:val="22"/>
          <w:szCs w:val="22"/>
        </w:rPr>
        <w:tab/>
      </w:r>
      <w:r w:rsidRPr="007A53AB">
        <w:rPr>
          <w:sz w:val="22"/>
          <w:szCs w:val="22"/>
        </w:rPr>
        <w:tab/>
      </w:r>
      <w:r w:rsidRPr="007A53AB">
        <w:rPr>
          <w:sz w:val="22"/>
          <w:szCs w:val="22"/>
        </w:rPr>
        <w:tab/>
        <w:t>Managing Director</w:t>
      </w:r>
    </w:p>
    <w:p w:rsidR="00292D95" w:rsidRPr="007A53AB" w:rsidRDefault="00292D95" w:rsidP="00292D95">
      <w:pPr>
        <w:rPr>
          <w:sz w:val="22"/>
          <w:szCs w:val="22"/>
        </w:rPr>
      </w:pPr>
      <w:r w:rsidRPr="007A53AB">
        <w:rPr>
          <w:sz w:val="22"/>
          <w:szCs w:val="22"/>
        </w:rPr>
        <w:t>Tel: 01 600 4281</w:t>
      </w:r>
      <w:r w:rsidRPr="007A53AB">
        <w:rPr>
          <w:sz w:val="22"/>
          <w:szCs w:val="22"/>
        </w:rPr>
        <w:tab/>
      </w:r>
      <w:r w:rsidRPr="007A53AB">
        <w:rPr>
          <w:sz w:val="22"/>
          <w:szCs w:val="22"/>
        </w:rPr>
        <w:tab/>
      </w:r>
      <w:r w:rsidRPr="007A53AB">
        <w:rPr>
          <w:sz w:val="22"/>
          <w:szCs w:val="22"/>
        </w:rPr>
        <w:tab/>
      </w:r>
      <w:r w:rsidRPr="007A53AB">
        <w:rPr>
          <w:sz w:val="22"/>
          <w:szCs w:val="22"/>
        </w:rPr>
        <w:tab/>
        <w:t>Tel: 01 669 0030</w:t>
      </w:r>
    </w:p>
    <w:p w:rsidR="00292D95" w:rsidRPr="007A53AB" w:rsidRDefault="00292D95" w:rsidP="00292D95">
      <w:pPr>
        <w:rPr>
          <w:sz w:val="22"/>
          <w:szCs w:val="22"/>
        </w:rPr>
      </w:pPr>
      <w:r w:rsidRPr="007A53AB">
        <w:rPr>
          <w:sz w:val="22"/>
          <w:szCs w:val="22"/>
        </w:rPr>
        <w:t>Mob: 085 174 4281</w:t>
      </w:r>
      <w:r w:rsidRPr="007A53AB">
        <w:rPr>
          <w:sz w:val="22"/>
          <w:szCs w:val="22"/>
        </w:rPr>
        <w:tab/>
      </w:r>
      <w:r w:rsidRPr="007A53AB">
        <w:rPr>
          <w:sz w:val="22"/>
          <w:szCs w:val="22"/>
        </w:rPr>
        <w:tab/>
      </w:r>
      <w:r w:rsidRPr="007A53AB">
        <w:rPr>
          <w:sz w:val="22"/>
          <w:szCs w:val="22"/>
        </w:rPr>
        <w:tab/>
      </w:r>
      <w:r w:rsidRPr="007A53AB">
        <w:rPr>
          <w:sz w:val="22"/>
          <w:szCs w:val="22"/>
        </w:rPr>
        <w:tab/>
        <w:t>Mob: 087 2436130</w:t>
      </w:r>
    </w:p>
    <w:p w:rsidR="00292D95" w:rsidRPr="007A53AB" w:rsidRDefault="00E40F86" w:rsidP="00292D95">
      <w:pPr>
        <w:rPr>
          <w:i/>
          <w:sz w:val="22"/>
          <w:szCs w:val="22"/>
        </w:rPr>
      </w:pPr>
      <w:hyperlink r:id="rId9" w:history="1">
        <w:r w:rsidR="00292D95" w:rsidRPr="007A53AB">
          <w:rPr>
            <w:rStyle w:val="Hyperlink"/>
            <w:color w:val="auto"/>
            <w:sz w:val="22"/>
            <w:szCs w:val="22"/>
          </w:rPr>
          <w:t>Paul_bradley@eircom.ie</w:t>
        </w:r>
      </w:hyperlink>
      <w:r w:rsidR="00292D95" w:rsidRPr="007A53AB">
        <w:rPr>
          <w:sz w:val="22"/>
          <w:szCs w:val="22"/>
        </w:rPr>
        <w:tab/>
      </w:r>
      <w:r w:rsidR="00292D95" w:rsidRPr="007A53AB">
        <w:rPr>
          <w:sz w:val="22"/>
          <w:szCs w:val="22"/>
        </w:rPr>
        <w:tab/>
      </w:r>
      <w:r w:rsidR="00292D95" w:rsidRPr="007A53AB">
        <w:rPr>
          <w:sz w:val="22"/>
          <w:szCs w:val="22"/>
        </w:rPr>
        <w:tab/>
      </w:r>
      <w:hyperlink r:id="rId10" w:history="1">
        <w:r w:rsidR="00292D95" w:rsidRPr="007A53AB">
          <w:rPr>
            <w:rStyle w:val="Hyperlink"/>
            <w:color w:val="auto"/>
            <w:sz w:val="22"/>
            <w:szCs w:val="22"/>
          </w:rPr>
          <w:t>brian.bell@ogilvy.com</w:t>
        </w:r>
      </w:hyperlink>
      <w:r w:rsidR="00292D95" w:rsidRPr="007A53AB">
        <w:rPr>
          <w:sz w:val="22"/>
          <w:szCs w:val="22"/>
        </w:rPr>
        <w:t xml:space="preserve"> </w:t>
      </w:r>
    </w:p>
    <w:p w:rsidR="00292D95" w:rsidRPr="007A53AB" w:rsidRDefault="00292D95" w:rsidP="00292D95">
      <w:pPr>
        <w:jc w:val="center"/>
        <w:rPr>
          <w:b/>
          <w:sz w:val="22"/>
          <w:szCs w:val="22"/>
        </w:rPr>
      </w:pPr>
    </w:p>
    <w:p w:rsidR="00292D95" w:rsidRDefault="00292D95" w:rsidP="00292D95">
      <w:pPr>
        <w:autoSpaceDE w:val="0"/>
        <w:autoSpaceDN w:val="0"/>
        <w:adjustRightInd w:val="0"/>
        <w:rPr>
          <w:b/>
          <w:bCs/>
          <w:i/>
          <w:sz w:val="22"/>
          <w:szCs w:val="22"/>
          <w:lang w:eastAsia="en-IE"/>
        </w:rPr>
      </w:pPr>
    </w:p>
    <w:tbl>
      <w:tblPr>
        <w:tblW w:w="2567" w:type="dxa"/>
        <w:tblInd w:w="108" w:type="dxa"/>
        <w:tblLook w:val="04A0" w:firstRow="1" w:lastRow="0" w:firstColumn="1" w:lastColumn="0" w:noHBand="0" w:noVBand="1"/>
      </w:tblPr>
      <w:tblGrid>
        <w:gridCol w:w="2783"/>
      </w:tblGrid>
      <w:tr w:rsidR="004E0D82" w:rsidRPr="004E0D82" w:rsidTr="004E0D82">
        <w:trPr>
          <w:trHeight w:val="300"/>
        </w:trPr>
        <w:tc>
          <w:tcPr>
            <w:tcW w:w="2567" w:type="dxa"/>
            <w:tcBorders>
              <w:top w:val="nil"/>
              <w:left w:val="nil"/>
              <w:bottom w:val="nil"/>
              <w:right w:val="nil"/>
            </w:tcBorders>
            <w:shd w:val="clear" w:color="auto" w:fill="auto"/>
            <w:noWrap/>
            <w:vAlign w:val="bottom"/>
            <w:hideMark/>
          </w:tcPr>
          <w:p w:rsidR="004E0D82" w:rsidRPr="004E0D82" w:rsidRDefault="004E0D82" w:rsidP="004E0D82">
            <w:pPr>
              <w:rPr>
                <w:sz w:val="22"/>
                <w:szCs w:val="22"/>
              </w:rPr>
            </w:pPr>
            <w:r w:rsidRPr="004E0D82">
              <w:rPr>
                <w:sz w:val="22"/>
                <w:szCs w:val="22"/>
              </w:rPr>
              <w:t>Chris Barrie</w:t>
            </w:r>
          </w:p>
        </w:tc>
      </w:tr>
      <w:tr w:rsidR="004E0D82" w:rsidRPr="004E0D82" w:rsidTr="004E0D82">
        <w:trPr>
          <w:trHeight w:val="300"/>
        </w:trPr>
        <w:tc>
          <w:tcPr>
            <w:tcW w:w="2567" w:type="dxa"/>
            <w:tcBorders>
              <w:top w:val="nil"/>
              <w:left w:val="nil"/>
              <w:bottom w:val="nil"/>
              <w:right w:val="nil"/>
            </w:tcBorders>
            <w:shd w:val="clear" w:color="auto" w:fill="auto"/>
            <w:noWrap/>
            <w:vAlign w:val="bottom"/>
            <w:hideMark/>
          </w:tcPr>
          <w:p w:rsidR="004E0D82" w:rsidRPr="004E0D82" w:rsidRDefault="004E0D82" w:rsidP="004E0D82">
            <w:pPr>
              <w:rPr>
                <w:sz w:val="22"/>
                <w:szCs w:val="22"/>
              </w:rPr>
            </w:pPr>
            <w:proofErr w:type="spellStart"/>
            <w:r w:rsidRPr="004E0D82">
              <w:rPr>
                <w:sz w:val="22"/>
                <w:szCs w:val="22"/>
              </w:rPr>
              <w:t>Citigate</w:t>
            </w:r>
            <w:proofErr w:type="spellEnd"/>
            <w:r w:rsidRPr="004E0D82">
              <w:rPr>
                <w:sz w:val="22"/>
                <w:szCs w:val="22"/>
              </w:rPr>
              <w:t xml:space="preserve"> </w:t>
            </w:r>
            <w:proofErr w:type="spellStart"/>
            <w:r w:rsidRPr="004E0D82">
              <w:rPr>
                <w:sz w:val="22"/>
                <w:szCs w:val="22"/>
              </w:rPr>
              <w:t>Dewe</w:t>
            </w:r>
            <w:proofErr w:type="spellEnd"/>
            <w:r w:rsidRPr="004E0D82">
              <w:rPr>
                <w:sz w:val="22"/>
                <w:szCs w:val="22"/>
              </w:rPr>
              <w:t xml:space="preserve"> </w:t>
            </w:r>
            <w:proofErr w:type="spellStart"/>
            <w:r w:rsidRPr="004E0D82">
              <w:rPr>
                <w:sz w:val="22"/>
                <w:szCs w:val="22"/>
              </w:rPr>
              <w:t>Rogerson</w:t>
            </w:r>
            <w:proofErr w:type="spellEnd"/>
          </w:p>
        </w:tc>
      </w:tr>
      <w:tr w:rsidR="004E0D82" w:rsidRPr="004E0D82" w:rsidTr="004E0D82">
        <w:trPr>
          <w:trHeight w:val="300"/>
        </w:trPr>
        <w:tc>
          <w:tcPr>
            <w:tcW w:w="2567" w:type="dxa"/>
            <w:tcBorders>
              <w:top w:val="nil"/>
              <w:left w:val="nil"/>
              <w:bottom w:val="nil"/>
              <w:right w:val="nil"/>
            </w:tcBorders>
            <w:shd w:val="clear" w:color="auto" w:fill="auto"/>
            <w:noWrap/>
            <w:vAlign w:val="bottom"/>
            <w:hideMark/>
          </w:tcPr>
          <w:p w:rsidR="004E0D82" w:rsidRPr="004E0D82" w:rsidRDefault="004E0D82" w:rsidP="004E0D82">
            <w:pPr>
              <w:rPr>
                <w:sz w:val="22"/>
                <w:szCs w:val="22"/>
              </w:rPr>
            </w:pPr>
            <w:r w:rsidRPr="004E0D82">
              <w:rPr>
                <w:sz w:val="22"/>
                <w:szCs w:val="22"/>
              </w:rPr>
              <w:t>Executive Director</w:t>
            </w:r>
          </w:p>
        </w:tc>
      </w:tr>
      <w:tr w:rsidR="004E0D82" w:rsidRPr="004E0D82" w:rsidTr="004E0D82">
        <w:trPr>
          <w:trHeight w:val="300"/>
        </w:trPr>
        <w:tc>
          <w:tcPr>
            <w:tcW w:w="2567" w:type="dxa"/>
            <w:tcBorders>
              <w:top w:val="nil"/>
              <w:left w:val="nil"/>
              <w:bottom w:val="nil"/>
              <w:right w:val="nil"/>
            </w:tcBorders>
            <w:shd w:val="clear" w:color="auto" w:fill="auto"/>
            <w:noWrap/>
            <w:vAlign w:val="bottom"/>
            <w:hideMark/>
          </w:tcPr>
          <w:p w:rsidR="004E0D82" w:rsidRPr="004E0D82" w:rsidRDefault="004E0D82" w:rsidP="004E0D82">
            <w:pPr>
              <w:rPr>
                <w:sz w:val="22"/>
                <w:szCs w:val="22"/>
              </w:rPr>
            </w:pPr>
            <w:r>
              <w:rPr>
                <w:sz w:val="22"/>
                <w:szCs w:val="22"/>
              </w:rPr>
              <w:t>Tel: +44</w:t>
            </w:r>
            <w:r w:rsidRPr="004E0D82">
              <w:rPr>
                <w:sz w:val="22"/>
                <w:szCs w:val="22"/>
              </w:rPr>
              <w:t>2076389571</w:t>
            </w:r>
          </w:p>
        </w:tc>
      </w:tr>
      <w:tr w:rsidR="004E0D82" w:rsidRPr="004E0D82" w:rsidTr="004E0D82">
        <w:trPr>
          <w:trHeight w:val="300"/>
        </w:trPr>
        <w:tc>
          <w:tcPr>
            <w:tcW w:w="2567" w:type="dxa"/>
            <w:tcBorders>
              <w:top w:val="nil"/>
              <w:left w:val="nil"/>
              <w:bottom w:val="nil"/>
              <w:right w:val="nil"/>
            </w:tcBorders>
            <w:shd w:val="clear" w:color="auto" w:fill="auto"/>
            <w:noWrap/>
            <w:vAlign w:val="bottom"/>
            <w:hideMark/>
          </w:tcPr>
          <w:p w:rsidR="004E0D82" w:rsidRPr="004E0D82" w:rsidRDefault="004E0D82" w:rsidP="004E0D82">
            <w:pPr>
              <w:rPr>
                <w:sz w:val="22"/>
                <w:szCs w:val="22"/>
              </w:rPr>
            </w:pPr>
            <w:r w:rsidRPr="004E0D82">
              <w:rPr>
                <w:sz w:val="22"/>
                <w:szCs w:val="22"/>
              </w:rPr>
              <w:t>Mob: +447968727289</w:t>
            </w:r>
          </w:p>
        </w:tc>
      </w:tr>
      <w:tr w:rsidR="004E0D82" w:rsidRPr="004E0D82" w:rsidTr="004E0D82">
        <w:trPr>
          <w:trHeight w:val="300"/>
        </w:trPr>
        <w:tc>
          <w:tcPr>
            <w:tcW w:w="2567" w:type="dxa"/>
            <w:tcBorders>
              <w:top w:val="nil"/>
              <w:left w:val="nil"/>
              <w:bottom w:val="nil"/>
              <w:right w:val="nil"/>
            </w:tcBorders>
            <w:shd w:val="clear" w:color="auto" w:fill="auto"/>
            <w:noWrap/>
            <w:vAlign w:val="bottom"/>
            <w:hideMark/>
          </w:tcPr>
          <w:p w:rsidR="004E0D82" w:rsidRPr="001F5C1D" w:rsidRDefault="004E0D82" w:rsidP="004E0D82">
            <w:pPr>
              <w:rPr>
                <w:sz w:val="22"/>
                <w:szCs w:val="22"/>
                <w:u w:val="single"/>
              </w:rPr>
            </w:pPr>
            <w:r w:rsidRPr="001F5C1D">
              <w:rPr>
                <w:sz w:val="22"/>
                <w:szCs w:val="22"/>
                <w:u w:val="single"/>
              </w:rPr>
              <w:t xml:space="preserve">chris.barrie@citigatedr.co.uk </w:t>
            </w:r>
          </w:p>
        </w:tc>
      </w:tr>
    </w:tbl>
    <w:p w:rsidR="004E0D82" w:rsidRDefault="004E0D82" w:rsidP="00292D95">
      <w:pPr>
        <w:autoSpaceDE w:val="0"/>
        <w:autoSpaceDN w:val="0"/>
        <w:adjustRightInd w:val="0"/>
        <w:rPr>
          <w:b/>
          <w:bCs/>
          <w:i/>
          <w:sz w:val="22"/>
          <w:szCs w:val="22"/>
          <w:lang w:eastAsia="en-IE"/>
        </w:rPr>
      </w:pPr>
    </w:p>
    <w:p w:rsidR="00292D95" w:rsidRPr="007A53AB" w:rsidRDefault="00292D95" w:rsidP="00292D95">
      <w:pPr>
        <w:autoSpaceDE w:val="0"/>
        <w:autoSpaceDN w:val="0"/>
        <w:adjustRightInd w:val="0"/>
        <w:rPr>
          <w:b/>
          <w:bCs/>
          <w:i/>
          <w:sz w:val="22"/>
          <w:szCs w:val="22"/>
          <w:lang w:eastAsia="en-IE"/>
        </w:rPr>
      </w:pPr>
      <w:r w:rsidRPr="007A53AB">
        <w:rPr>
          <w:b/>
          <w:bCs/>
          <w:i/>
          <w:sz w:val="22"/>
          <w:szCs w:val="22"/>
          <w:lang w:eastAsia="en-IE"/>
        </w:rPr>
        <w:t>For investor relations queries, please contact:</w:t>
      </w:r>
    </w:p>
    <w:p w:rsidR="00292D95" w:rsidRPr="007A53AB" w:rsidRDefault="00292D95" w:rsidP="00292D95">
      <w:pPr>
        <w:autoSpaceDE w:val="0"/>
        <w:autoSpaceDN w:val="0"/>
        <w:adjustRightInd w:val="0"/>
        <w:rPr>
          <w:sz w:val="22"/>
          <w:szCs w:val="22"/>
          <w:lang w:eastAsia="en-IE"/>
        </w:rPr>
      </w:pPr>
    </w:p>
    <w:p w:rsidR="00292D95" w:rsidRPr="007A53AB" w:rsidRDefault="00292D95" w:rsidP="00292D95">
      <w:pPr>
        <w:rPr>
          <w:sz w:val="22"/>
          <w:szCs w:val="22"/>
        </w:rPr>
      </w:pPr>
      <w:r w:rsidRPr="007A53AB">
        <w:rPr>
          <w:sz w:val="22"/>
          <w:szCs w:val="22"/>
        </w:rPr>
        <w:t>Michelle Bennett</w:t>
      </w:r>
    </w:p>
    <w:p w:rsidR="00292D95" w:rsidRPr="007A53AB" w:rsidRDefault="00292D95" w:rsidP="00292D95">
      <w:pPr>
        <w:rPr>
          <w:sz w:val="22"/>
          <w:szCs w:val="22"/>
        </w:rPr>
      </w:pPr>
      <w:r w:rsidRPr="007A53AB">
        <w:rPr>
          <w:sz w:val="22"/>
          <w:szCs w:val="22"/>
        </w:rPr>
        <w:t>Head of Investor Relations, eircom</w:t>
      </w:r>
    </w:p>
    <w:p w:rsidR="00292D95" w:rsidRPr="007A53AB" w:rsidRDefault="00292D95" w:rsidP="00292D95">
      <w:pPr>
        <w:rPr>
          <w:sz w:val="22"/>
          <w:szCs w:val="22"/>
        </w:rPr>
      </w:pPr>
      <w:r w:rsidRPr="007A53AB">
        <w:rPr>
          <w:sz w:val="22"/>
          <w:szCs w:val="22"/>
        </w:rPr>
        <w:t>Tel: 01 600 5699</w:t>
      </w:r>
    </w:p>
    <w:p w:rsidR="00292D95" w:rsidRPr="007A53AB" w:rsidRDefault="00292D95" w:rsidP="00292D95">
      <w:pPr>
        <w:rPr>
          <w:sz w:val="22"/>
          <w:szCs w:val="22"/>
        </w:rPr>
      </w:pPr>
      <w:r w:rsidRPr="007A53AB">
        <w:rPr>
          <w:sz w:val="22"/>
          <w:szCs w:val="22"/>
        </w:rPr>
        <w:t>Mob: 085 1745 699</w:t>
      </w:r>
    </w:p>
    <w:p w:rsidR="00292D95" w:rsidRPr="007A53AB" w:rsidRDefault="00292D95" w:rsidP="00292D95">
      <w:pPr>
        <w:rPr>
          <w:rStyle w:val="Hyperlink"/>
          <w:color w:val="auto"/>
          <w:sz w:val="22"/>
          <w:szCs w:val="22"/>
        </w:rPr>
      </w:pPr>
      <w:r w:rsidRPr="007A53AB">
        <w:rPr>
          <w:rStyle w:val="Hyperlink"/>
          <w:color w:val="auto"/>
          <w:sz w:val="22"/>
          <w:szCs w:val="22"/>
        </w:rPr>
        <w:t>mbennett2@eircom.ie</w:t>
      </w:r>
    </w:p>
    <w:p w:rsidR="00292D95" w:rsidRPr="007A53AB" w:rsidRDefault="00292D95" w:rsidP="00292D95">
      <w:pPr>
        <w:autoSpaceDE w:val="0"/>
        <w:autoSpaceDN w:val="0"/>
        <w:adjustRightInd w:val="0"/>
        <w:rPr>
          <w:b/>
          <w:bCs/>
          <w:sz w:val="22"/>
          <w:szCs w:val="22"/>
          <w:lang w:eastAsia="en-IE"/>
        </w:rPr>
      </w:pPr>
    </w:p>
    <w:p w:rsidR="00292D95" w:rsidRPr="007A53AB" w:rsidRDefault="00292D95" w:rsidP="00292D95">
      <w:pPr>
        <w:autoSpaceDE w:val="0"/>
        <w:autoSpaceDN w:val="0"/>
        <w:adjustRightInd w:val="0"/>
        <w:rPr>
          <w:b/>
          <w:bCs/>
          <w:sz w:val="22"/>
          <w:szCs w:val="22"/>
          <w:lang w:eastAsia="en-IE"/>
        </w:rPr>
      </w:pPr>
      <w:r w:rsidRPr="007A53AB">
        <w:rPr>
          <w:b/>
          <w:bCs/>
          <w:sz w:val="22"/>
          <w:szCs w:val="22"/>
          <w:lang w:eastAsia="en-IE"/>
        </w:rPr>
        <w:t>For more information on today’s announcement, please visit our Investor Relations site:</w:t>
      </w:r>
    </w:p>
    <w:p w:rsidR="00292D95" w:rsidRPr="007A53AB" w:rsidRDefault="00E40F86" w:rsidP="00292D95">
      <w:pPr>
        <w:rPr>
          <w:b/>
          <w:bCs/>
          <w:sz w:val="22"/>
          <w:szCs w:val="22"/>
          <w:lang w:eastAsia="en-IE"/>
        </w:rPr>
      </w:pPr>
      <w:hyperlink r:id="rId11" w:history="1">
        <w:r w:rsidR="00292D95" w:rsidRPr="007A53AB">
          <w:rPr>
            <w:rStyle w:val="Hyperlink"/>
            <w:b/>
            <w:bCs/>
            <w:color w:val="auto"/>
            <w:sz w:val="22"/>
            <w:szCs w:val="22"/>
            <w:lang w:eastAsia="en-IE"/>
          </w:rPr>
          <w:t>http://investorrelations.eircom.net/</w:t>
        </w:r>
      </w:hyperlink>
    </w:p>
    <w:p w:rsidR="00292D95" w:rsidRPr="007A53AB" w:rsidRDefault="00292D95" w:rsidP="00292D95">
      <w:pPr>
        <w:rPr>
          <w:sz w:val="22"/>
          <w:szCs w:val="22"/>
        </w:rPr>
      </w:pPr>
    </w:p>
    <w:p w:rsidR="00292D95" w:rsidRPr="007A53AB" w:rsidRDefault="00292D95" w:rsidP="00292D95">
      <w:pPr>
        <w:rPr>
          <w:sz w:val="22"/>
          <w:szCs w:val="22"/>
        </w:rPr>
      </w:pPr>
    </w:p>
    <w:p w:rsidR="00292D95" w:rsidRPr="007A53AB" w:rsidRDefault="00292D95" w:rsidP="00292D95">
      <w:pPr>
        <w:rPr>
          <w:sz w:val="22"/>
          <w:szCs w:val="22"/>
        </w:rPr>
      </w:pPr>
    </w:p>
    <w:p w:rsidR="00590973" w:rsidRPr="007A53AB" w:rsidRDefault="00292D95" w:rsidP="00292D95">
      <w:pPr>
        <w:rPr>
          <w:b/>
          <w:color w:val="FF0000"/>
          <w:kern w:val="28"/>
          <w:sz w:val="22"/>
          <w:szCs w:val="22"/>
          <w:lang w:eastAsia="en-US"/>
        </w:rPr>
      </w:pPr>
      <w:r w:rsidRPr="007A53AB">
        <w:rPr>
          <w:sz w:val="22"/>
          <w:szCs w:val="22"/>
        </w:rPr>
        <w:t>7 February 2014</w:t>
      </w:r>
      <w:r w:rsidR="00590973" w:rsidRPr="007A53AB">
        <w:rPr>
          <w:b/>
          <w:color w:val="FF0000"/>
          <w:sz w:val="22"/>
          <w:szCs w:val="22"/>
        </w:rPr>
        <w:br w:type="page"/>
      </w:r>
    </w:p>
    <w:bookmarkEnd w:id="0"/>
    <w:p w:rsidR="00740C18" w:rsidRPr="00740C18" w:rsidRDefault="00740C18" w:rsidP="00740C18">
      <w:pPr>
        <w:keepNext/>
        <w:keepLines/>
        <w:tabs>
          <w:tab w:val="left" w:pos="-720"/>
          <w:tab w:val="left" w:pos="0"/>
          <w:tab w:val="left" w:pos="720"/>
          <w:tab w:val="left" w:pos="1440"/>
        </w:tabs>
        <w:suppressAutoHyphens/>
        <w:spacing w:after="240"/>
        <w:ind w:right="-58"/>
        <w:jc w:val="both"/>
        <w:rPr>
          <w:b/>
          <w:i/>
          <w:sz w:val="28"/>
        </w:rPr>
      </w:pPr>
      <w:proofErr w:type="spellStart"/>
      <w:proofErr w:type="gramStart"/>
      <w:r w:rsidRPr="00740C18">
        <w:rPr>
          <w:b/>
          <w:sz w:val="28"/>
        </w:rPr>
        <w:lastRenderedPageBreak/>
        <w:t>eircom</w:t>
      </w:r>
      <w:proofErr w:type="spellEnd"/>
      <w:proofErr w:type="gramEnd"/>
      <w:r w:rsidRPr="00740C18">
        <w:rPr>
          <w:b/>
          <w:sz w:val="28"/>
        </w:rPr>
        <w:t xml:space="preserve"> Holdings (Ireland) Limited</w:t>
      </w:r>
    </w:p>
    <w:p w:rsidR="006D217E" w:rsidRPr="006D217E" w:rsidRDefault="006D217E" w:rsidP="006D217E">
      <w:pPr>
        <w:rPr>
          <w:b/>
          <w:i/>
          <w:sz w:val="20"/>
        </w:rPr>
      </w:pPr>
      <w:r w:rsidRPr="006D217E">
        <w:rPr>
          <w:b/>
          <w:i/>
          <w:sz w:val="20"/>
        </w:rPr>
        <w:t>Disclaimer and Forward Looking Statements</w:t>
      </w:r>
    </w:p>
    <w:p w:rsidR="006D217E" w:rsidRPr="006D217E" w:rsidRDefault="006D217E" w:rsidP="006D217E">
      <w:pPr>
        <w:rPr>
          <w:b/>
          <w:i/>
          <w:sz w:val="20"/>
        </w:rPr>
      </w:pPr>
    </w:p>
    <w:p w:rsidR="006D217E" w:rsidRPr="006D217E" w:rsidRDefault="006D217E" w:rsidP="00613AB1">
      <w:pPr>
        <w:jc w:val="both"/>
        <w:rPr>
          <w:sz w:val="20"/>
        </w:rPr>
      </w:pPr>
      <w:r w:rsidRPr="006D217E">
        <w:rPr>
          <w:sz w:val="20"/>
        </w:rPr>
        <w:t>This</w:t>
      </w:r>
      <w:r w:rsidR="00AE2FF7">
        <w:rPr>
          <w:sz w:val="20"/>
        </w:rPr>
        <w:t xml:space="preserve"> document</w:t>
      </w:r>
      <w:r w:rsidRPr="006D217E">
        <w:rPr>
          <w:sz w:val="20"/>
        </w:rPr>
        <w:t xml:space="preserve"> is for information purposes only. It does not constitute or form part of, and should not be construed as an advertisement, an offer or an invitation to subscribe to or to purchase securities of any member of the Group nor is the information meant to serve as a basis for any kind of contractual or other obligation. This document does not constitute a prospectus or a prospectus equivalent document.</w:t>
      </w:r>
    </w:p>
    <w:p w:rsidR="006D217E" w:rsidRPr="006D217E" w:rsidRDefault="006D217E" w:rsidP="00613AB1">
      <w:pPr>
        <w:jc w:val="both"/>
        <w:rPr>
          <w:sz w:val="20"/>
        </w:rPr>
      </w:pPr>
    </w:p>
    <w:p w:rsidR="006D217E" w:rsidRPr="006D217E" w:rsidRDefault="006D217E" w:rsidP="00613AB1">
      <w:pPr>
        <w:jc w:val="both"/>
        <w:rPr>
          <w:sz w:val="20"/>
        </w:rPr>
      </w:pPr>
      <w:r w:rsidRPr="006D217E">
        <w:rPr>
          <w:sz w:val="20"/>
        </w:rPr>
        <w:t xml:space="preserve">By reviewing the information in this document you agree to the terms of this disclaimer. </w:t>
      </w:r>
    </w:p>
    <w:p w:rsidR="006D217E" w:rsidRPr="006D217E" w:rsidRDefault="006D217E" w:rsidP="00613AB1">
      <w:pPr>
        <w:jc w:val="both"/>
        <w:rPr>
          <w:sz w:val="20"/>
        </w:rPr>
      </w:pPr>
    </w:p>
    <w:p w:rsidR="006D217E" w:rsidRPr="006D217E" w:rsidRDefault="006D217E" w:rsidP="00613AB1">
      <w:pPr>
        <w:jc w:val="both"/>
        <w:rPr>
          <w:sz w:val="20"/>
        </w:rPr>
      </w:pPr>
      <w:r w:rsidRPr="006D217E">
        <w:rPr>
          <w:sz w:val="20"/>
        </w:rPr>
        <w:t xml:space="preserve">This document should not be treated as giving investment advice. No specific investment objectives, financial situation or particular needs of any recipient have been taken into consideration in connection with the preparation of this document. </w:t>
      </w:r>
    </w:p>
    <w:p w:rsidR="006D217E" w:rsidRPr="006D217E" w:rsidRDefault="006D217E" w:rsidP="00613AB1">
      <w:pPr>
        <w:jc w:val="both"/>
        <w:rPr>
          <w:sz w:val="20"/>
        </w:rPr>
      </w:pPr>
    </w:p>
    <w:p w:rsidR="006D217E" w:rsidRPr="006D217E" w:rsidRDefault="006D217E" w:rsidP="00613AB1">
      <w:pPr>
        <w:jc w:val="both"/>
        <w:rPr>
          <w:sz w:val="20"/>
        </w:rPr>
      </w:pPr>
      <w:r w:rsidRPr="006D217E">
        <w:rPr>
          <w:sz w:val="20"/>
        </w:rPr>
        <w:t xml:space="preserve">This document may include forward-looking statements within the meaning of Section 21E of the US Securities Exchange Act of 1934 and Section 27A of the US Securities Act of 1933 regarding certain of the Group’s plans and its current goals, intentions, beliefs and expectations concerning, among other things, the Group’s future results of operation, financial condition, liquidity, prospects, growth, strategies and the industries in which the Group operates. These forward looking statements can be identified by the fact that they do not relate only to historical or current facts. Generally, but not always, words such as ‘may,’ ‘could,’ ‘should,’ ‘will,’ ‘expect,’ ‘intend,’ ‘estimate,’ ‘anticipate,’ ‘assume,’ ‘believe,’ ‘plan,’ ‘seek,’ ‘continue,’ ‘target,’ ‘goal,’ ‘would’, or their negative variations or similar expressions identify forward looking statements. By their nature, forward-looking statements are inherently subject to risks and uncertainties because they relate to events and depend on circumstances that may or may not occur in the future.  The Group cautions you that forward-looking statements are not guarantees of future performance and that its actual results of operations, financial condition and liquidity and the development of the industries in which the Group operates may differ materially from those made in or suggested by the forward-looking statements contained in the document.  In addition, even if the Group’s results of operations, financial condition and liquidity and the development of the industries in which the Group operates are consistent with the forward-looking statements contained in this document, those results of developments may not be indicative of results or developments in future periods.  </w:t>
      </w:r>
    </w:p>
    <w:p w:rsidR="006D217E" w:rsidRPr="006D217E" w:rsidRDefault="006D217E" w:rsidP="00613AB1">
      <w:pPr>
        <w:jc w:val="both"/>
        <w:rPr>
          <w:sz w:val="20"/>
        </w:rPr>
      </w:pPr>
    </w:p>
    <w:p w:rsidR="006D217E" w:rsidRPr="006D217E" w:rsidRDefault="006D217E" w:rsidP="00613AB1">
      <w:pPr>
        <w:jc w:val="both"/>
        <w:rPr>
          <w:sz w:val="20"/>
        </w:rPr>
      </w:pPr>
      <w:r w:rsidRPr="006D217E">
        <w:rPr>
          <w:sz w:val="20"/>
        </w:rPr>
        <w:t xml:space="preserve">The Group does not undertake any obligation to review, update or confirm expectations or estimates or to release publicly any revisions to any forward-looking statements to reflect events that occur or circumstances that arise after the date of this document.  </w:t>
      </w:r>
    </w:p>
    <w:p w:rsidR="006D217E" w:rsidRPr="006D217E" w:rsidRDefault="006D217E" w:rsidP="00613AB1">
      <w:pPr>
        <w:jc w:val="both"/>
        <w:rPr>
          <w:sz w:val="20"/>
        </w:rPr>
      </w:pPr>
    </w:p>
    <w:p w:rsidR="006D217E" w:rsidRPr="006D217E" w:rsidRDefault="006D217E" w:rsidP="00613AB1">
      <w:pPr>
        <w:jc w:val="both"/>
        <w:rPr>
          <w:sz w:val="20"/>
        </w:rPr>
      </w:pPr>
      <w:r w:rsidRPr="006D217E">
        <w:rPr>
          <w:sz w:val="20"/>
        </w:rPr>
        <w:t xml:space="preserve">No warranty or representation of any kind, express or implied, is or will be made in relation to, and to the fullest extent permissible by law, no responsibility or liability in contract, tort, or otherwise is or will be accepted by the Group any of the Group’s officers, employees, advisers or agents or any of their affiliates as to the accuracy, completeness or reasonableness of the information contained in this document, including any opinions, forecasts or projections. Nothing in this document shall be deemed to constitute such a representation or warranty or to constitute a recommendation to any person to acquire any Notes or other securities of any member of the Group or otherwise become a lender of any member of the Group. Any estimates and projections in this document were developed solely for the use of the Group at the time at which they were prepared and for limited purposes which may not meet the requirements or objectives of the recipient of this document. Nothing in this document should be considered to be a forecast of future profitability or financial position and none of the information in this document is or is intended to be a profit forecast or profit estimate. </w:t>
      </w:r>
    </w:p>
    <w:p w:rsidR="006D217E" w:rsidRPr="006D217E" w:rsidRDefault="006D217E" w:rsidP="00613AB1">
      <w:pPr>
        <w:jc w:val="both"/>
        <w:rPr>
          <w:sz w:val="20"/>
        </w:rPr>
      </w:pPr>
    </w:p>
    <w:p w:rsidR="006D217E" w:rsidRPr="006D217E" w:rsidRDefault="006D217E" w:rsidP="00613AB1">
      <w:pPr>
        <w:jc w:val="both"/>
        <w:rPr>
          <w:sz w:val="20"/>
        </w:rPr>
      </w:pPr>
      <w:r w:rsidRPr="006D217E">
        <w:rPr>
          <w:sz w:val="20"/>
        </w:rPr>
        <w:t xml:space="preserve">The Group and its officers, affiliates, agents, directors, partners and employees accept no liability whatsoever for any loss or damage howsoever arising from any use of this document or its contents or otherwise arising in connection therewith. </w:t>
      </w:r>
    </w:p>
    <w:p w:rsidR="006D217E" w:rsidRPr="006D217E" w:rsidRDefault="006D217E" w:rsidP="00613AB1">
      <w:pPr>
        <w:jc w:val="both"/>
        <w:rPr>
          <w:sz w:val="20"/>
        </w:rPr>
      </w:pPr>
    </w:p>
    <w:p w:rsidR="006D217E" w:rsidRPr="006D217E" w:rsidRDefault="006D217E" w:rsidP="00613AB1">
      <w:pPr>
        <w:jc w:val="both"/>
        <w:rPr>
          <w:sz w:val="20"/>
        </w:rPr>
      </w:pPr>
      <w:r w:rsidRPr="006D217E">
        <w:rPr>
          <w:sz w:val="20"/>
        </w:rPr>
        <w:t>The Group has not assumed any responsibility for independent verification of any of the information contained herein including, but not limited to, any forward looking statements made herein.  In addition, the Group assumes no obligation to update or to correct any inaccuracies which may become apparent in this document.</w:t>
      </w:r>
    </w:p>
    <w:p w:rsidR="006D217E" w:rsidRPr="006D217E" w:rsidRDefault="006D217E" w:rsidP="00613AB1">
      <w:pPr>
        <w:jc w:val="both"/>
        <w:rPr>
          <w:sz w:val="20"/>
        </w:rPr>
      </w:pPr>
      <w:r w:rsidRPr="006D217E">
        <w:rPr>
          <w:sz w:val="20"/>
        </w:rPr>
        <w:t> </w:t>
      </w:r>
    </w:p>
    <w:p w:rsidR="006D217E" w:rsidRPr="006D217E" w:rsidRDefault="006D217E" w:rsidP="00613AB1">
      <w:pPr>
        <w:jc w:val="both"/>
        <w:rPr>
          <w:sz w:val="20"/>
        </w:rPr>
      </w:pPr>
      <w:r w:rsidRPr="006D217E">
        <w:rPr>
          <w:sz w:val="20"/>
        </w:rPr>
        <w:t>This document has not been approved by any regulatory authority.  This document has been prepared by, and is the sole responsibility of, the Group and has not been independently verified.  All financial and operating information in this document is based on unaudited management information unless otherwise specified.</w:t>
      </w:r>
    </w:p>
    <w:p w:rsidR="00740C18" w:rsidRPr="00740C18" w:rsidRDefault="00740C18" w:rsidP="00613AB1">
      <w:pPr>
        <w:pStyle w:val="QuarterlyBodyText"/>
        <w:spacing w:after="0"/>
        <w:rPr>
          <w:color w:val="auto"/>
          <w:lang w:eastAsia="en-US"/>
        </w:rPr>
      </w:pPr>
    </w:p>
    <w:p w:rsidR="00740C18" w:rsidRPr="00740C18" w:rsidRDefault="00740C18" w:rsidP="00613AB1">
      <w:pPr>
        <w:pStyle w:val="QuarterlyHeading3"/>
        <w:spacing w:after="0"/>
        <w:ind w:right="-568"/>
        <w:outlineLvl w:val="0"/>
        <w:rPr>
          <w:color w:val="auto"/>
        </w:rPr>
      </w:pPr>
      <w:r w:rsidRPr="00740C18">
        <w:rPr>
          <w:color w:val="auto"/>
        </w:rPr>
        <w:t>Other Data</w:t>
      </w:r>
    </w:p>
    <w:p w:rsidR="00740C18" w:rsidRPr="00740C18" w:rsidRDefault="00740C18" w:rsidP="00613AB1">
      <w:pPr>
        <w:pStyle w:val="QuarterlyHeading3"/>
        <w:spacing w:after="0"/>
        <w:ind w:right="-568"/>
        <w:outlineLvl w:val="0"/>
        <w:rPr>
          <w:b w:val="0"/>
          <w:i w:val="0"/>
          <w:color w:val="auto"/>
        </w:rPr>
      </w:pPr>
    </w:p>
    <w:p w:rsidR="00740C18" w:rsidRPr="00740C18" w:rsidRDefault="00740C18" w:rsidP="00613AB1">
      <w:pPr>
        <w:pStyle w:val="QuarterlyHeading3"/>
        <w:spacing w:after="0"/>
        <w:ind w:right="-58"/>
        <w:outlineLvl w:val="0"/>
        <w:rPr>
          <w:rFonts w:ascii="Times New Roman" w:hAnsi="Times New Roman"/>
          <w:b w:val="0"/>
          <w:i w:val="0"/>
          <w:color w:val="auto"/>
          <w:lang w:eastAsia="en-GB"/>
        </w:rPr>
      </w:pPr>
      <w:r w:rsidRPr="00740C18">
        <w:rPr>
          <w:rFonts w:ascii="Times New Roman" w:hAnsi="Times New Roman"/>
          <w:b w:val="0"/>
          <w:i w:val="0"/>
          <w:color w:val="auto"/>
          <w:lang w:eastAsia="en-GB"/>
        </w:rPr>
        <w:t>Certain numerical figures set out in this document, including financial data presented in millions or thousands, certain operating data, and percentages describing movements in quarters, have been subject to rounding adjustments and, as a result, the totals of the data in this document may vary slightly from the information presented in this document or the actual arithmetic totals of such information.</w:t>
      </w:r>
      <w:bookmarkStart w:id="1" w:name="_GoBack"/>
      <w:bookmarkEnd w:id="1"/>
    </w:p>
    <w:sectPr w:rsidR="00740C18" w:rsidRPr="00740C18" w:rsidSect="00C41291">
      <w:headerReference w:type="default" r:id="rId12"/>
      <w:headerReference w:type="first" r:id="rId13"/>
      <w:endnotePr>
        <w:numRestart w:val="eachSect"/>
      </w:endnotePr>
      <w:pgSz w:w="11907" w:h="16840" w:code="9"/>
      <w:pgMar w:top="1021" w:right="1021" w:bottom="1021" w:left="1021" w:header="414" w:footer="720" w:gutter="0"/>
      <w:paperSrc w:first="18762" w:other="1876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04" w:rsidRDefault="00D77604">
      <w:r>
        <w:separator/>
      </w:r>
    </w:p>
  </w:endnote>
  <w:endnote w:type="continuationSeparator" w:id="0">
    <w:p w:rsidR="00D77604" w:rsidRDefault="00D7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140"/>
  </w:font>
  <w:font w:name="Vodafone Rg">
    <w:altName w:val="Vodafo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04" w:rsidRDefault="00D77604">
      <w:r>
        <w:separator/>
      </w:r>
    </w:p>
  </w:footnote>
  <w:footnote w:type="continuationSeparator" w:id="0">
    <w:p w:rsidR="00D77604" w:rsidRDefault="00D77604">
      <w:r>
        <w:continuationSeparator/>
      </w:r>
    </w:p>
  </w:footnote>
  <w:footnote w:id="1">
    <w:p w:rsidR="00AB6DF0" w:rsidRPr="0013181C" w:rsidRDefault="00AB6DF0" w:rsidP="00C551D5">
      <w:pPr>
        <w:pStyle w:val="FootnoteText"/>
        <w:ind w:left="142" w:hanging="142"/>
        <w:rPr>
          <w:sz w:val="16"/>
          <w:szCs w:val="16"/>
          <w:lang w:eastAsia="en-IE"/>
        </w:rPr>
      </w:pPr>
      <w:r w:rsidRPr="0013181C">
        <w:rPr>
          <w:rStyle w:val="FootnoteReference"/>
          <w:sz w:val="16"/>
          <w:szCs w:val="16"/>
        </w:rPr>
        <w:footnoteRef/>
      </w:r>
      <w:r w:rsidRPr="0013181C">
        <w:rPr>
          <w:sz w:val="16"/>
          <w:szCs w:val="16"/>
        </w:rPr>
        <w:t xml:space="preserve"> </w:t>
      </w:r>
      <w:r w:rsidRPr="0013181C">
        <w:rPr>
          <w:sz w:val="16"/>
          <w:szCs w:val="16"/>
          <w:lang w:eastAsia="en-IE"/>
        </w:rPr>
        <w:t xml:space="preserve">Adjusted EBITDA is earnings before interest, taxation, amortisation, depreciation, non-cash lease fair value credits, </w:t>
      </w:r>
      <w:proofErr w:type="gramStart"/>
      <w:r w:rsidRPr="0013181C">
        <w:rPr>
          <w:sz w:val="16"/>
          <w:szCs w:val="16"/>
          <w:lang w:eastAsia="en-IE"/>
        </w:rPr>
        <w:t>non</w:t>
      </w:r>
      <w:proofErr w:type="gramEnd"/>
      <w:r w:rsidRPr="0013181C">
        <w:rPr>
          <w:sz w:val="16"/>
          <w:szCs w:val="16"/>
          <w:lang w:eastAsia="en-IE"/>
        </w:rPr>
        <w:t xml:space="preserve">-cash pension charges and exceptional items. </w:t>
      </w:r>
    </w:p>
  </w:footnote>
  <w:footnote w:id="2">
    <w:p w:rsidR="00AB6DF0" w:rsidRPr="0013181C" w:rsidRDefault="00AB6DF0" w:rsidP="00C551D5">
      <w:pPr>
        <w:pStyle w:val="FootnoteText"/>
        <w:rPr>
          <w:sz w:val="16"/>
          <w:szCs w:val="16"/>
          <w:lang w:eastAsia="en-IE"/>
        </w:rPr>
      </w:pPr>
      <w:r w:rsidRPr="0013181C">
        <w:rPr>
          <w:rStyle w:val="FootnoteReference"/>
          <w:sz w:val="16"/>
          <w:szCs w:val="16"/>
        </w:rPr>
        <w:footnoteRef/>
      </w:r>
      <w:r w:rsidRPr="0013181C">
        <w:rPr>
          <w:sz w:val="16"/>
          <w:szCs w:val="16"/>
        </w:rPr>
        <w:t xml:space="preserve"> </w:t>
      </w:r>
      <w:r w:rsidRPr="0013181C">
        <w:rPr>
          <w:sz w:val="16"/>
          <w:szCs w:val="16"/>
          <w:lang w:eastAsia="en-IE"/>
        </w:rPr>
        <w:t>Prior year comparatives have been adjusted to exclude the results of Phonewatch which was disposed of in May 2013.</w:t>
      </w:r>
    </w:p>
  </w:footnote>
  <w:footnote w:id="3">
    <w:p w:rsidR="00AB6DF0" w:rsidRPr="0013181C" w:rsidRDefault="00AB6DF0" w:rsidP="00C551D5">
      <w:pPr>
        <w:ind w:left="142" w:hanging="142"/>
        <w:rPr>
          <w:sz w:val="16"/>
          <w:szCs w:val="16"/>
          <w:lang w:eastAsia="en-IE"/>
        </w:rPr>
      </w:pPr>
      <w:r w:rsidRPr="0013181C">
        <w:rPr>
          <w:rStyle w:val="FootnoteReference"/>
          <w:sz w:val="16"/>
          <w:szCs w:val="16"/>
        </w:rPr>
        <w:footnoteRef/>
      </w:r>
      <w:r w:rsidRPr="0013181C">
        <w:rPr>
          <w:sz w:val="16"/>
          <w:szCs w:val="16"/>
          <w:lang w:eastAsia="en-IE"/>
        </w:rPr>
        <w:t xml:space="preserve"> Operating costs are cost of sales, pay and non pay costs excluding non-cash pension charge, non-cash lease fair value credits, amortisation, depreciation, and exceptional items.</w:t>
      </w:r>
    </w:p>
  </w:footnote>
  <w:footnote w:id="4">
    <w:p w:rsidR="00AB6DF0" w:rsidRPr="0013181C" w:rsidRDefault="00AB6DF0" w:rsidP="00F5050F">
      <w:pPr>
        <w:pStyle w:val="FootnoteText"/>
        <w:ind w:left="142" w:hanging="142"/>
      </w:pPr>
      <w:r w:rsidRPr="0013181C">
        <w:rPr>
          <w:rStyle w:val="FootnoteReference"/>
          <w:sz w:val="16"/>
          <w:szCs w:val="16"/>
        </w:rPr>
        <w:footnoteRef/>
      </w:r>
      <w:r w:rsidRPr="0013181C">
        <w:rPr>
          <w:sz w:val="16"/>
          <w:szCs w:val="16"/>
        </w:rPr>
        <w:t xml:space="preserve"> Homes passed is defined as the number of premises in areas where the construction of the fibre network has been completed but service may not be available in all these areas as yet.</w:t>
      </w:r>
    </w:p>
  </w:footnote>
  <w:footnote w:id="5">
    <w:p w:rsidR="00AB6DF0" w:rsidRPr="0013181C" w:rsidRDefault="00AB6DF0" w:rsidP="00B80BD6">
      <w:pPr>
        <w:pStyle w:val="FootnoteText"/>
        <w:rPr>
          <w:sz w:val="16"/>
          <w:szCs w:val="16"/>
        </w:rPr>
      </w:pPr>
      <w:r w:rsidRPr="0013181C">
        <w:rPr>
          <w:rStyle w:val="FootnoteReference"/>
          <w:sz w:val="16"/>
          <w:szCs w:val="16"/>
        </w:rPr>
        <w:footnoteRef/>
      </w:r>
      <w:r w:rsidRPr="0013181C">
        <w:rPr>
          <w:sz w:val="16"/>
          <w:szCs w:val="16"/>
        </w:rPr>
        <w:t xml:space="preserve"> Cost savings are based on annualised Q4 FY14 costs, excluding SAC and Phonewatch costs, compared to the financial year end June 30, 2012.</w:t>
      </w:r>
    </w:p>
  </w:footnote>
  <w:footnote w:id="6">
    <w:p w:rsidR="00AB6DF0" w:rsidRPr="0013181C" w:rsidRDefault="00AB6DF0" w:rsidP="00E715DB">
      <w:pPr>
        <w:pStyle w:val="FootnoteText"/>
        <w:rPr>
          <w:sz w:val="16"/>
          <w:szCs w:val="16"/>
          <w:lang w:eastAsia="en-IE"/>
        </w:rPr>
      </w:pPr>
      <w:r w:rsidRPr="0013181C">
        <w:rPr>
          <w:rStyle w:val="FootnoteReference"/>
          <w:sz w:val="16"/>
          <w:szCs w:val="16"/>
        </w:rPr>
        <w:footnoteRef/>
      </w:r>
      <w:r w:rsidRPr="0013181C">
        <w:rPr>
          <w:sz w:val="16"/>
          <w:szCs w:val="16"/>
        </w:rPr>
        <w:t xml:space="preserve"> </w:t>
      </w:r>
      <w:r w:rsidRPr="0013181C">
        <w:rPr>
          <w:sz w:val="16"/>
          <w:szCs w:val="16"/>
          <w:lang w:eastAsia="en-IE"/>
        </w:rPr>
        <w:t>Prior year comparatives have been adjusted to exclude the results of Phonewatch which was disposed of in May 2013.</w:t>
      </w:r>
    </w:p>
  </w:footnote>
  <w:footnote w:id="7">
    <w:p w:rsidR="00AB6DF0" w:rsidRPr="00F86597" w:rsidRDefault="00AB6DF0" w:rsidP="00C551D5">
      <w:pPr>
        <w:pStyle w:val="FootnoteText"/>
        <w:rPr>
          <w:sz w:val="16"/>
          <w:szCs w:val="16"/>
        </w:rPr>
      </w:pPr>
      <w:r w:rsidRPr="00F86597">
        <w:rPr>
          <w:rStyle w:val="FootnoteReference"/>
          <w:sz w:val="16"/>
          <w:szCs w:val="16"/>
        </w:rPr>
        <w:footnoteRef/>
      </w:r>
      <w:r w:rsidRPr="00F86597">
        <w:rPr>
          <w:sz w:val="16"/>
          <w:szCs w:val="16"/>
        </w:rPr>
        <w:t xml:space="preserve"> </w:t>
      </w:r>
      <w:proofErr w:type="gramStart"/>
      <w:r w:rsidRPr="00F86597">
        <w:rPr>
          <w:sz w:val="16"/>
          <w:szCs w:val="16"/>
        </w:rPr>
        <w:t>Combined Retail and Wholesale access line losses.</w:t>
      </w:r>
      <w:proofErr w:type="gramEnd"/>
    </w:p>
  </w:footnote>
  <w:footnote w:id="8">
    <w:p w:rsidR="00AB6DF0" w:rsidRPr="00A313AA" w:rsidRDefault="00AB6DF0" w:rsidP="00C551D5">
      <w:pPr>
        <w:pStyle w:val="FootnoteText"/>
        <w:rPr>
          <w:sz w:val="16"/>
          <w:szCs w:val="16"/>
        </w:rPr>
      </w:pPr>
      <w:r w:rsidRPr="00F86597">
        <w:rPr>
          <w:rStyle w:val="FootnoteReference"/>
          <w:sz w:val="16"/>
          <w:szCs w:val="16"/>
        </w:rPr>
        <w:footnoteRef/>
      </w:r>
      <w:r w:rsidRPr="00F86597">
        <w:rPr>
          <w:sz w:val="16"/>
          <w:szCs w:val="16"/>
        </w:rPr>
        <w:t xml:space="preserve"> Combined Retail and Wholesale excluding LLU.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F0" w:rsidRDefault="00AB6DF0">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F0" w:rsidRDefault="00AB6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A8"/>
    <w:multiLevelType w:val="hybridMultilevel"/>
    <w:tmpl w:val="EDBAB1F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E4E08BF"/>
    <w:multiLevelType w:val="singleLevel"/>
    <w:tmpl w:val="F7D2D352"/>
    <w:lvl w:ilvl="0">
      <w:start w:val="1"/>
      <w:numFmt w:val="decimal"/>
      <w:pStyle w:val="yesaheading"/>
      <w:lvlText w:val="%1."/>
      <w:lvlJc w:val="left"/>
      <w:pPr>
        <w:tabs>
          <w:tab w:val="num" w:pos="360"/>
        </w:tabs>
        <w:ind w:left="360" w:hanging="360"/>
      </w:pPr>
      <w:rPr>
        <w:b/>
        <w:i w:val="0"/>
      </w:rPr>
    </w:lvl>
  </w:abstractNum>
  <w:abstractNum w:abstractNumId="2">
    <w:nsid w:val="10F23F8E"/>
    <w:multiLevelType w:val="hybridMultilevel"/>
    <w:tmpl w:val="90C2D450"/>
    <w:lvl w:ilvl="0" w:tplc="D1AC7352">
      <w:start w:val="3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0E016B"/>
    <w:multiLevelType w:val="hybridMultilevel"/>
    <w:tmpl w:val="35D204A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B90D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5665AE1"/>
    <w:multiLevelType w:val="multilevel"/>
    <w:tmpl w:val="350EDC36"/>
    <w:name w:val="zzmpFWN||FW Notes|2|3|0|1|0|32||1|0|0||1|0|0||1|0|0||1|0|0||1|0|0||1|0|0||mpNA||mpNA||"/>
    <w:lvl w:ilvl="0">
      <w:start w:val="1"/>
      <w:numFmt w:val="decimal"/>
      <w:lvlRestart w:val="0"/>
      <w:pStyle w:val="FWNL1"/>
      <w:lvlText w:val="%1."/>
      <w:lvlJc w:val="left"/>
      <w:pPr>
        <w:tabs>
          <w:tab w:val="num" w:pos="720"/>
        </w:tabs>
        <w:ind w:left="0" w:firstLine="0"/>
      </w:pPr>
      <w:rPr>
        <w:rFonts w:ascii="Times New Roman" w:hAnsi="Times New Roman"/>
        <w:b w:val="0"/>
        <w:i w:val="0"/>
        <w:caps w:val="0"/>
        <w:color w:val="auto"/>
        <w:u w:val="none"/>
      </w:rPr>
    </w:lvl>
    <w:lvl w:ilvl="1">
      <w:start w:val="1"/>
      <w:numFmt w:val="lowerLetter"/>
      <w:pStyle w:val="FWNL2"/>
      <w:lvlText w:val="(%2)"/>
      <w:lvlJc w:val="left"/>
      <w:pPr>
        <w:tabs>
          <w:tab w:val="num" w:pos="720"/>
        </w:tabs>
        <w:ind w:left="72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6">
    <w:nsid w:val="359D74E5"/>
    <w:multiLevelType w:val="singleLevel"/>
    <w:tmpl w:val="6B54EF5C"/>
    <w:lvl w:ilvl="0">
      <w:start w:val="1"/>
      <w:numFmt w:val="decimal"/>
      <w:lvlText w:val="%1."/>
      <w:lvlJc w:val="left"/>
      <w:pPr>
        <w:tabs>
          <w:tab w:val="num" w:pos="360"/>
        </w:tabs>
        <w:ind w:left="360" w:hanging="360"/>
      </w:pPr>
      <w:rPr>
        <w:sz w:val="20"/>
        <w:vertAlign w:val="baseline"/>
      </w:rPr>
    </w:lvl>
  </w:abstractNum>
  <w:abstractNum w:abstractNumId="7">
    <w:nsid w:val="42C12303"/>
    <w:multiLevelType w:val="singleLevel"/>
    <w:tmpl w:val="18090005"/>
    <w:lvl w:ilvl="0">
      <w:start w:val="1"/>
      <w:numFmt w:val="bullet"/>
      <w:lvlText w:val=""/>
      <w:lvlJc w:val="left"/>
      <w:pPr>
        <w:ind w:left="720" w:hanging="360"/>
      </w:pPr>
      <w:rPr>
        <w:rFonts w:ascii="Wingdings" w:hAnsi="Wingdings" w:hint="default"/>
      </w:rPr>
    </w:lvl>
  </w:abstractNum>
  <w:abstractNum w:abstractNumId="8">
    <w:nsid w:val="43C11211"/>
    <w:multiLevelType w:val="hybridMultilevel"/>
    <w:tmpl w:val="E3329554"/>
    <w:lvl w:ilvl="0" w:tplc="C4FA3D2A">
      <w:start w:val="3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4DF6DD4"/>
    <w:multiLevelType w:val="hybridMultilevel"/>
    <w:tmpl w:val="50AAFF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1C3F30"/>
    <w:multiLevelType w:val="hybridMultilevel"/>
    <w:tmpl w:val="C53C24E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3A654D3"/>
    <w:multiLevelType w:val="singleLevel"/>
    <w:tmpl w:val="29CAA14C"/>
    <w:name w:val="HeadingList2"/>
    <w:lvl w:ilvl="0">
      <w:start w:val="2"/>
      <w:numFmt w:val="decimal"/>
      <w:lvlText w:val="%1."/>
      <w:lvlJc w:val="left"/>
      <w:pPr>
        <w:tabs>
          <w:tab w:val="num" w:pos="5248"/>
        </w:tabs>
        <w:ind w:left="5248" w:hanging="360"/>
      </w:pPr>
      <w:rPr>
        <w:rFonts w:hint="default"/>
      </w:rPr>
    </w:lvl>
  </w:abstractNum>
  <w:abstractNum w:abstractNumId="12">
    <w:nsid w:val="5C6838AB"/>
    <w:multiLevelType w:val="hybridMultilevel"/>
    <w:tmpl w:val="09C6690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D095D54"/>
    <w:multiLevelType w:val="multilevel"/>
    <w:tmpl w:val="3B00F600"/>
    <w:name w:val="PwCHeadingListTemplate"/>
    <w:lvl w:ilvl="0">
      <w:start w:val="1"/>
      <w:numFmt w:val="decimal"/>
      <w:lvlText w:val="%1"/>
      <w:lvlJc w:val="right"/>
      <w:pPr>
        <w:tabs>
          <w:tab w:val="num" w:pos="0"/>
        </w:tabs>
        <w:ind w:left="0" w:hanging="280"/>
      </w:pPr>
      <w:rPr>
        <w:rFonts w:ascii="Times New Roman" w:hAnsi="Times New Roman" w:hint="default"/>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14">
    <w:nsid w:val="70C8723D"/>
    <w:multiLevelType w:val="hybridMultilevel"/>
    <w:tmpl w:val="9C4EE0B2"/>
    <w:lvl w:ilvl="0" w:tplc="D5B2C20C">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10"/>
  </w:num>
  <w:num w:numId="7">
    <w:abstractNumId w:val="9"/>
  </w:num>
  <w:num w:numId="8">
    <w:abstractNumId w:val="12"/>
  </w:num>
  <w:num w:numId="9">
    <w:abstractNumId w:val="4"/>
  </w:num>
  <w:num w:numId="10">
    <w:abstractNumId w:val="3"/>
  </w:num>
  <w:num w:numId="11">
    <w:abstractNumId w:val="14"/>
  </w:num>
  <w:num w:numId="12">
    <w:abstractNumId w:val="10"/>
  </w:num>
  <w:num w:numId="13">
    <w:abstractNumId w:val="8"/>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IE" w:vendorID="8" w:dllVersion="513" w:checkStyle="1"/>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23"/>
    <w:rsid w:val="0000320E"/>
    <w:rsid w:val="00010703"/>
    <w:rsid w:val="00011BE3"/>
    <w:rsid w:val="00011C7F"/>
    <w:rsid w:val="00013625"/>
    <w:rsid w:val="0001426F"/>
    <w:rsid w:val="000158F2"/>
    <w:rsid w:val="00016461"/>
    <w:rsid w:val="00025870"/>
    <w:rsid w:val="00030112"/>
    <w:rsid w:val="00031ED6"/>
    <w:rsid w:val="000324FE"/>
    <w:rsid w:val="0004100F"/>
    <w:rsid w:val="00046833"/>
    <w:rsid w:val="000475C8"/>
    <w:rsid w:val="0005732E"/>
    <w:rsid w:val="000608D6"/>
    <w:rsid w:val="000623DC"/>
    <w:rsid w:val="000634F5"/>
    <w:rsid w:val="00064AD4"/>
    <w:rsid w:val="00066F10"/>
    <w:rsid w:val="000711DA"/>
    <w:rsid w:val="00072AC2"/>
    <w:rsid w:val="000749C9"/>
    <w:rsid w:val="000772DA"/>
    <w:rsid w:val="00077921"/>
    <w:rsid w:val="00085347"/>
    <w:rsid w:val="00087CA5"/>
    <w:rsid w:val="000900D4"/>
    <w:rsid w:val="00090DE3"/>
    <w:rsid w:val="000910F6"/>
    <w:rsid w:val="000934A9"/>
    <w:rsid w:val="000941AD"/>
    <w:rsid w:val="00097356"/>
    <w:rsid w:val="000A384B"/>
    <w:rsid w:val="000A494A"/>
    <w:rsid w:val="000C248E"/>
    <w:rsid w:val="000C4466"/>
    <w:rsid w:val="000C4B16"/>
    <w:rsid w:val="000C6162"/>
    <w:rsid w:val="000D0FDE"/>
    <w:rsid w:val="000D27AF"/>
    <w:rsid w:val="000D3FE1"/>
    <w:rsid w:val="000E01A8"/>
    <w:rsid w:val="000E1A30"/>
    <w:rsid w:val="000E55D4"/>
    <w:rsid w:val="000E6718"/>
    <w:rsid w:val="000F03FA"/>
    <w:rsid w:val="000F100E"/>
    <w:rsid w:val="000F47F0"/>
    <w:rsid w:val="000F5E5A"/>
    <w:rsid w:val="000F7FA3"/>
    <w:rsid w:val="001000D0"/>
    <w:rsid w:val="001060FB"/>
    <w:rsid w:val="00106C09"/>
    <w:rsid w:val="00111D7D"/>
    <w:rsid w:val="0011355F"/>
    <w:rsid w:val="00115B05"/>
    <w:rsid w:val="00116FED"/>
    <w:rsid w:val="00122B7B"/>
    <w:rsid w:val="00123E1B"/>
    <w:rsid w:val="00123FBB"/>
    <w:rsid w:val="00131BA5"/>
    <w:rsid w:val="001411D8"/>
    <w:rsid w:val="0014170E"/>
    <w:rsid w:val="00144A78"/>
    <w:rsid w:val="00144C06"/>
    <w:rsid w:val="001529C6"/>
    <w:rsid w:val="00153574"/>
    <w:rsid w:val="00153E48"/>
    <w:rsid w:val="00154E78"/>
    <w:rsid w:val="0015762A"/>
    <w:rsid w:val="0016314F"/>
    <w:rsid w:val="00164D8D"/>
    <w:rsid w:val="00167BDA"/>
    <w:rsid w:val="001756A7"/>
    <w:rsid w:val="00176E7B"/>
    <w:rsid w:val="00180873"/>
    <w:rsid w:val="00190048"/>
    <w:rsid w:val="0019051F"/>
    <w:rsid w:val="001906AA"/>
    <w:rsid w:val="00192CA8"/>
    <w:rsid w:val="00193613"/>
    <w:rsid w:val="0019436E"/>
    <w:rsid w:val="0019754E"/>
    <w:rsid w:val="001A169C"/>
    <w:rsid w:val="001A23D8"/>
    <w:rsid w:val="001A2B37"/>
    <w:rsid w:val="001A61A4"/>
    <w:rsid w:val="001B1D7B"/>
    <w:rsid w:val="001B3C60"/>
    <w:rsid w:val="001C0289"/>
    <w:rsid w:val="001C4180"/>
    <w:rsid w:val="001C52C2"/>
    <w:rsid w:val="001C5354"/>
    <w:rsid w:val="001C7851"/>
    <w:rsid w:val="001D2F69"/>
    <w:rsid w:val="001D654F"/>
    <w:rsid w:val="001E11E8"/>
    <w:rsid w:val="001F2AB7"/>
    <w:rsid w:val="001F3C47"/>
    <w:rsid w:val="001F59F8"/>
    <w:rsid w:val="001F5C1D"/>
    <w:rsid w:val="001F60CD"/>
    <w:rsid w:val="001F7A38"/>
    <w:rsid w:val="001F7FF8"/>
    <w:rsid w:val="002012B3"/>
    <w:rsid w:val="00203E60"/>
    <w:rsid w:val="00204CBD"/>
    <w:rsid w:val="002103BD"/>
    <w:rsid w:val="002146ED"/>
    <w:rsid w:val="00215D15"/>
    <w:rsid w:val="00225A18"/>
    <w:rsid w:val="00225DB4"/>
    <w:rsid w:val="0022655E"/>
    <w:rsid w:val="002306B3"/>
    <w:rsid w:val="00230DE1"/>
    <w:rsid w:val="00231DEB"/>
    <w:rsid w:val="002360A9"/>
    <w:rsid w:val="00237486"/>
    <w:rsid w:val="00240A23"/>
    <w:rsid w:val="00240D6B"/>
    <w:rsid w:val="002423CF"/>
    <w:rsid w:val="002547EE"/>
    <w:rsid w:val="002572CC"/>
    <w:rsid w:val="00262E6E"/>
    <w:rsid w:val="00263F71"/>
    <w:rsid w:val="002706D1"/>
    <w:rsid w:val="00272CBD"/>
    <w:rsid w:val="00273051"/>
    <w:rsid w:val="00273C41"/>
    <w:rsid w:val="0028285A"/>
    <w:rsid w:val="00284F6E"/>
    <w:rsid w:val="00286B3C"/>
    <w:rsid w:val="002900F4"/>
    <w:rsid w:val="00290B4F"/>
    <w:rsid w:val="0029100A"/>
    <w:rsid w:val="002916AE"/>
    <w:rsid w:val="00292D95"/>
    <w:rsid w:val="002A1144"/>
    <w:rsid w:val="002A4A3C"/>
    <w:rsid w:val="002A5054"/>
    <w:rsid w:val="002A5EB8"/>
    <w:rsid w:val="002A60CD"/>
    <w:rsid w:val="002A6630"/>
    <w:rsid w:val="002A6EBB"/>
    <w:rsid w:val="002B020F"/>
    <w:rsid w:val="002B06C9"/>
    <w:rsid w:val="002B0E9A"/>
    <w:rsid w:val="002B206F"/>
    <w:rsid w:val="002B29E4"/>
    <w:rsid w:val="002B43E6"/>
    <w:rsid w:val="002B5837"/>
    <w:rsid w:val="002B65ED"/>
    <w:rsid w:val="002B6960"/>
    <w:rsid w:val="002B6CEC"/>
    <w:rsid w:val="002B7BB5"/>
    <w:rsid w:val="002C11B8"/>
    <w:rsid w:val="002C1C0F"/>
    <w:rsid w:val="002C1D20"/>
    <w:rsid w:val="002C3DEA"/>
    <w:rsid w:val="002C47DE"/>
    <w:rsid w:val="002C5FA1"/>
    <w:rsid w:val="002C68C9"/>
    <w:rsid w:val="002C6E3D"/>
    <w:rsid w:val="002D2693"/>
    <w:rsid w:val="002D2A41"/>
    <w:rsid w:val="002E3159"/>
    <w:rsid w:val="002F373D"/>
    <w:rsid w:val="002F4905"/>
    <w:rsid w:val="00300EAB"/>
    <w:rsid w:val="003010EF"/>
    <w:rsid w:val="003100C1"/>
    <w:rsid w:val="003106A9"/>
    <w:rsid w:val="00311DC9"/>
    <w:rsid w:val="003126F9"/>
    <w:rsid w:val="003146FB"/>
    <w:rsid w:val="00314967"/>
    <w:rsid w:val="00315897"/>
    <w:rsid w:val="00315D68"/>
    <w:rsid w:val="00317036"/>
    <w:rsid w:val="0031744F"/>
    <w:rsid w:val="003201BD"/>
    <w:rsid w:val="0032194A"/>
    <w:rsid w:val="003226A9"/>
    <w:rsid w:val="00322AB1"/>
    <w:rsid w:val="0032386C"/>
    <w:rsid w:val="003249C5"/>
    <w:rsid w:val="00325118"/>
    <w:rsid w:val="00326DBF"/>
    <w:rsid w:val="00330B53"/>
    <w:rsid w:val="00331FAB"/>
    <w:rsid w:val="003347CE"/>
    <w:rsid w:val="00342FD9"/>
    <w:rsid w:val="00343E8C"/>
    <w:rsid w:val="003457BD"/>
    <w:rsid w:val="00350B64"/>
    <w:rsid w:val="00351014"/>
    <w:rsid w:val="00352078"/>
    <w:rsid w:val="00355031"/>
    <w:rsid w:val="00360FFD"/>
    <w:rsid w:val="00367661"/>
    <w:rsid w:val="00375145"/>
    <w:rsid w:val="0037569B"/>
    <w:rsid w:val="003805E7"/>
    <w:rsid w:val="003837C7"/>
    <w:rsid w:val="0038688D"/>
    <w:rsid w:val="00386D4A"/>
    <w:rsid w:val="00387E68"/>
    <w:rsid w:val="003945A1"/>
    <w:rsid w:val="003962A6"/>
    <w:rsid w:val="003964BB"/>
    <w:rsid w:val="003A1D5D"/>
    <w:rsid w:val="003A3E02"/>
    <w:rsid w:val="003B22F3"/>
    <w:rsid w:val="003B4D80"/>
    <w:rsid w:val="003C0727"/>
    <w:rsid w:val="003C0A73"/>
    <w:rsid w:val="003C3CF1"/>
    <w:rsid w:val="003C5E70"/>
    <w:rsid w:val="003D3089"/>
    <w:rsid w:val="003D380C"/>
    <w:rsid w:val="003E0155"/>
    <w:rsid w:val="003E234D"/>
    <w:rsid w:val="003E38C5"/>
    <w:rsid w:val="003E63FD"/>
    <w:rsid w:val="003E764E"/>
    <w:rsid w:val="003F14C9"/>
    <w:rsid w:val="003F2370"/>
    <w:rsid w:val="003F34AD"/>
    <w:rsid w:val="003F5A1D"/>
    <w:rsid w:val="003F7D8B"/>
    <w:rsid w:val="00401F1E"/>
    <w:rsid w:val="0040263D"/>
    <w:rsid w:val="00402F14"/>
    <w:rsid w:val="00404899"/>
    <w:rsid w:val="00405F79"/>
    <w:rsid w:val="00412A78"/>
    <w:rsid w:val="00416D19"/>
    <w:rsid w:val="00416FD5"/>
    <w:rsid w:val="00421648"/>
    <w:rsid w:val="004216F4"/>
    <w:rsid w:val="0042239A"/>
    <w:rsid w:val="00422919"/>
    <w:rsid w:val="00424BD2"/>
    <w:rsid w:val="00425B78"/>
    <w:rsid w:val="00427965"/>
    <w:rsid w:val="004309AF"/>
    <w:rsid w:val="00433F64"/>
    <w:rsid w:val="004342F9"/>
    <w:rsid w:val="00434E15"/>
    <w:rsid w:val="004367F4"/>
    <w:rsid w:val="00436D5A"/>
    <w:rsid w:val="00437BF6"/>
    <w:rsid w:val="00440E29"/>
    <w:rsid w:val="0044409D"/>
    <w:rsid w:val="00444E01"/>
    <w:rsid w:val="00445817"/>
    <w:rsid w:val="00446D9B"/>
    <w:rsid w:val="00450875"/>
    <w:rsid w:val="004540DC"/>
    <w:rsid w:val="004615D4"/>
    <w:rsid w:val="004648E1"/>
    <w:rsid w:val="00466028"/>
    <w:rsid w:val="00466B41"/>
    <w:rsid w:val="0046713A"/>
    <w:rsid w:val="00472712"/>
    <w:rsid w:val="004729A2"/>
    <w:rsid w:val="0047627F"/>
    <w:rsid w:val="00480819"/>
    <w:rsid w:val="00482F6E"/>
    <w:rsid w:val="004871E1"/>
    <w:rsid w:val="00492D12"/>
    <w:rsid w:val="00494963"/>
    <w:rsid w:val="00494E2F"/>
    <w:rsid w:val="0049583D"/>
    <w:rsid w:val="00496D02"/>
    <w:rsid w:val="004A0383"/>
    <w:rsid w:val="004A3D07"/>
    <w:rsid w:val="004A4F4C"/>
    <w:rsid w:val="004A6A35"/>
    <w:rsid w:val="004C4766"/>
    <w:rsid w:val="004C6893"/>
    <w:rsid w:val="004C7E98"/>
    <w:rsid w:val="004D0C2A"/>
    <w:rsid w:val="004D4B01"/>
    <w:rsid w:val="004E0927"/>
    <w:rsid w:val="004E0D82"/>
    <w:rsid w:val="004E7BB2"/>
    <w:rsid w:val="004F360E"/>
    <w:rsid w:val="00504CCD"/>
    <w:rsid w:val="005079A2"/>
    <w:rsid w:val="00516F80"/>
    <w:rsid w:val="00521C0D"/>
    <w:rsid w:val="005239D9"/>
    <w:rsid w:val="00525D43"/>
    <w:rsid w:val="005273EB"/>
    <w:rsid w:val="00527D68"/>
    <w:rsid w:val="0054002A"/>
    <w:rsid w:val="0054107A"/>
    <w:rsid w:val="00541AA7"/>
    <w:rsid w:val="0054428D"/>
    <w:rsid w:val="00544838"/>
    <w:rsid w:val="005513B3"/>
    <w:rsid w:val="0055387F"/>
    <w:rsid w:val="00555C31"/>
    <w:rsid w:val="0056138D"/>
    <w:rsid w:val="0056152A"/>
    <w:rsid w:val="0056431A"/>
    <w:rsid w:val="00565342"/>
    <w:rsid w:val="00565D0E"/>
    <w:rsid w:val="005701F9"/>
    <w:rsid w:val="00576795"/>
    <w:rsid w:val="00581647"/>
    <w:rsid w:val="00581D6E"/>
    <w:rsid w:val="005832B7"/>
    <w:rsid w:val="005865EA"/>
    <w:rsid w:val="00590973"/>
    <w:rsid w:val="00591B88"/>
    <w:rsid w:val="00594926"/>
    <w:rsid w:val="005963E0"/>
    <w:rsid w:val="00596963"/>
    <w:rsid w:val="0059799C"/>
    <w:rsid w:val="005A0A35"/>
    <w:rsid w:val="005A101A"/>
    <w:rsid w:val="005A7124"/>
    <w:rsid w:val="005B1657"/>
    <w:rsid w:val="005B1E0E"/>
    <w:rsid w:val="005B36A3"/>
    <w:rsid w:val="005B6D5A"/>
    <w:rsid w:val="005B760F"/>
    <w:rsid w:val="005C034F"/>
    <w:rsid w:val="005C0CA0"/>
    <w:rsid w:val="005C1F97"/>
    <w:rsid w:val="005C299B"/>
    <w:rsid w:val="005C4D96"/>
    <w:rsid w:val="005C6995"/>
    <w:rsid w:val="005C70EF"/>
    <w:rsid w:val="005C787F"/>
    <w:rsid w:val="005C7C1A"/>
    <w:rsid w:val="005D3F45"/>
    <w:rsid w:val="005D70CA"/>
    <w:rsid w:val="005D7E76"/>
    <w:rsid w:val="005E5F3C"/>
    <w:rsid w:val="005E663A"/>
    <w:rsid w:val="005F24F0"/>
    <w:rsid w:val="005F341F"/>
    <w:rsid w:val="005F7947"/>
    <w:rsid w:val="0060370E"/>
    <w:rsid w:val="00603CCC"/>
    <w:rsid w:val="0060773F"/>
    <w:rsid w:val="00610C10"/>
    <w:rsid w:val="0061310B"/>
    <w:rsid w:val="006131D2"/>
    <w:rsid w:val="00613AB1"/>
    <w:rsid w:val="006141DF"/>
    <w:rsid w:val="006142CD"/>
    <w:rsid w:val="006177B5"/>
    <w:rsid w:val="00621D60"/>
    <w:rsid w:val="006224E3"/>
    <w:rsid w:val="0062685E"/>
    <w:rsid w:val="00627267"/>
    <w:rsid w:val="00627D6B"/>
    <w:rsid w:val="00631092"/>
    <w:rsid w:val="006315A3"/>
    <w:rsid w:val="00635755"/>
    <w:rsid w:val="00636130"/>
    <w:rsid w:val="0063630A"/>
    <w:rsid w:val="00636728"/>
    <w:rsid w:val="00637EB7"/>
    <w:rsid w:val="00637F50"/>
    <w:rsid w:val="00640FF6"/>
    <w:rsid w:val="006430B1"/>
    <w:rsid w:val="00646AC7"/>
    <w:rsid w:val="00653D61"/>
    <w:rsid w:val="0065539E"/>
    <w:rsid w:val="0065561E"/>
    <w:rsid w:val="00662F73"/>
    <w:rsid w:val="00663F7D"/>
    <w:rsid w:val="00665EC3"/>
    <w:rsid w:val="006705E8"/>
    <w:rsid w:val="006730E2"/>
    <w:rsid w:val="00674ED8"/>
    <w:rsid w:val="006769D5"/>
    <w:rsid w:val="00676ADE"/>
    <w:rsid w:val="00677FD8"/>
    <w:rsid w:val="00681E5D"/>
    <w:rsid w:val="00682A35"/>
    <w:rsid w:val="006A0D28"/>
    <w:rsid w:val="006A51B6"/>
    <w:rsid w:val="006A618B"/>
    <w:rsid w:val="006A6EC7"/>
    <w:rsid w:val="006B09F8"/>
    <w:rsid w:val="006B0B64"/>
    <w:rsid w:val="006B2B26"/>
    <w:rsid w:val="006B5C2C"/>
    <w:rsid w:val="006B7451"/>
    <w:rsid w:val="006C2E6F"/>
    <w:rsid w:val="006C68DE"/>
    <w:rsid w:val="006D217E"/>
    <w:rsid w:val="006D3DD2"/>
    <w:rsid w:val="006D4114"/>
    <w:rsid w:val="006D6849"/>
    <w:rsid w:val="006E30C4"/>
    <w:rsid w:val="006E48F4"/>
    <w:rsid w:val="006E7F08"/>
    <w:rsid w:val="006F21AE"/>
    <w:rsid w:val="007008AF"/>
    <w:rsid w:val="00701330"/>
    <w:rsid w:val="00701681"/>
    <w:rsid w:val="00702A69"/>
    <w:rsid w:val="00705258"/>
    <w:rsid w:val="00707797"/>
    <w:rsid w:val="00710C9D"/>
    <w:rsid w:val="007113C8"/>
    <w:rsid w:val="00712646"/>
    <w:rsid w:val="00712649"/>
    <w:rsid w:val="00715479"/>
    <w:rsid w:val="00715C9C"/>
    <w:rsid w:val="0072088D"/>
    <w:rsid w:val="00720B0B"/>
    <w:rsid w:val="007214A4"/>
    <w:rsid w:val="00724BDD"/>
    <w:rsid w:val="0072698F"/>
    <w:rsid w:val="00726DA0"/>
    <w:rsid w:val="00727BE6"/>
    <w:rsid w:val="007312F5"/>
    <w:rsid w:val="00733493"/>
    <w:rsid w:val="0073562F"/>
    <w:rsid w:val="00737F69"/>
    <w:rsid w:val="00740C18"/>
    <w:rsid w:val="0074249E"/>
    <w:rsid w:val="00746617"/>
    <w:rsid w:val="0075083E"/>
    <w:rsid w:val="00752539"/>
    <w:rsid w:val="00756C8B"/>
    <w:rsid w:val="00757BF0"/>
    <w:rsid w:val="00760173"/>
    <w:rsid w:val="0076087E"/>
    <w:rsid w:val="0076167A"/>
    <w:rsid w:val="00762D48"/>
    <w:rsid w:val="00763840"/>
    <w:rsid w:val="00763968"/>
    <w:rsid w:val="007647D9"/>
    <w:rsid w:val="00765EB3"/>
    <w:rsid w:val="0076730F"/>
    <w:rsid w:val="00771FE5"/>
    <w:rsid w:val="007724B8"/>
    <w:rsid w:val="00772E4E"/>
    <w:rsid w:val="00773FF1"/>
    <w:rsid w:val="00774435"/>
    <w:rsid w:val="00774897"/>
    <w:rsid w:val="00777804"/>
    <w:rsid w:val="00780354"/>
    <w:rsid w:val="00781813"/>
    <w:rsid w:val="0078331E"/>
    <w:rsid w:val="00783CEF"/>
    <w:rsid w:val="007841C8"/>
    <w:rsid w:val="00784772"/>
    <w:rsid w:val="00790991"/>
    <w:rsid w:val="007A0A58"/>
    <w:rsid w:val="007A4151"/>
    <w:rsid w:val="007A53AB"/>
    <w:rsid w:val="007B3310"/>
    <w:rsid w:val="007B3E37"/>
    <w:rsid w:val="007B572E"/>
    <w:rsid w:val="007B6B7E"/>
    <w:rsid w:val="007C306E"/>
    <w:rsid w:val="007C6E72"/>
    <w:rsid w:val="007C732E"/>
    <w:rsid w:val="007D032C"/>
    <w:rsid w:val="007D0844"/>
    <w:rsid w:val="007D269F"/>
    <w:rsid w:val="007E04BF"/>
    <w:rsid w:val="007E42C6"/>
    <w:rsid w:val="007E4892"/>
    <w:rsid w:val="007E6978"/>
    <w:rsid w:val="007E70DD"/>
    <w:rsid w:val="007F3B6C"/>
    <w:rsid w:val="007F57FA"/>
    <w:rsid w:val="007F7212"/>
    <w:rsid w:val="007F7380"/>
    <w:rsid w:val="00803D57"/>
    <w:rsid w:val="00811C6C"/>
    <w:rsid w:val="00811C96"/>
    <w:rsid w:val="0081475E"/>
    <w:rsid w:val="00814C62"/>
    <w:rsid w:val="0081763E"/>
    <w:rsid w:val="008177A5"/>
    <w:rsid w:val="008238AA"/>
    <w:rsid w:val="00826727"/>
    <w:rsid w:val="00833300"/>
    <w:rsid w:val="008404BE"/>
    <w:rsid w:val="00840937"/>
    <w:rsid w:val="00840E00"/>
    <w:rsid w:val="00841BC2"/>
    <w:rsid w:val="008463DE"/>
    <w:rsid w:val="008469A3"/>
    <w:rsid w:val="008475DD"/>
    <w:rsid w:val="008476DA"/>
    <w:rsid w:val="00851B23"/>
    <w:rsid w:val="00864B38"/>
    <w:rsid w:val="00871481"/>
    <w:rsid w:val="008723B8"/>
    <w:rsid w:val="00874DA5"/>
    <w:rsid w:val="00875947"/>
    <w:rsid w:val="00875FEE"/>
    <w:rsid w:val="00885291"/>
    <w:rsid w:val="0088572B"/>
    <w:rsid w:val="008874A3"/>
    <w:rsid w:val="008901A4"/>
    <w:rsid w:val="008913AE"/>
    <w:rsid w:val="00893645"/>
    <w:rsid w:val="00895A87"/>
    <w:rsid w:val="008972C6"/>
    <w:rsid w:val="008A0584"/>
    <w:rsid w:val="008A177C"/>
    <w:rsid w:val="008A206D"/>
    <w:rsid w:val="008A2CF1"/>
    <w:rsid w:val="008A6BC7"/>
    <w:rsid w:val="008A7F53"/>
    <w:rsid w:val="008B0D24"/>
    <w:rsid w:val="008B371C"/>
    <w:rsid w:val="008B4CA6"/>
    <w:rsid w:val="008B6295"/>
    <w:rsid w:val="008C0D5F"/>
    <w:rsid w:val="008C1C43"/>
    <w:rsid w:val="008C21B6"/>
    <w:rsid w:val="008C25BB"/>
    <w:rsid w:val="008C2ACC"/>
    <w:rsid w:val="008C3140"/>
    <w:rsid w:val="008D56E4"/>
    <w:rsid w:val="008D5B97"/>
    <w:rsid w:val="008D7843"/>
    <w:rsid w:val="008D7E1F"/>
    <w:rsid w:val="008D7E65"/>
    <w:rsid w:val="008E1D97"/>
    <w:rsid w:val="008E1EC5"/>
    <w:rsid w:val="008E6555"/>
    <w:rsid w:val="008F0A9E"/>
    <w:rsid w:val="008F4B17"/>
    <w:rsid w:val="00901A0B"/>
    <w:rsid w:val="009025B3"/>
    <w:rsid w:val="009061E6"/>
    <w:rsid w:val="00906676"/>
    <w:rsid w:val="009072F4"/>
    <w:rsid w:val="009105DA"/>
    <w:rsid w:val="009110E7"/>
    <w:rsid w:val="0091691B"/>
    <w:rsid w:val="00917508"/>
    <w:rsid w:val="00920CD5"/>
    <w:rsid w:val="0092307A"/>
    <w:rsid w:val="00931C5E"/>
    <w:rsid w:val="0093726C"/>
    <w:rsid w:val="009406E3"/>
    <w:rsid w:val="009412ED"/>
    <w:rsid w:val="00947B90"/>
    <w:rsid w:val="009507D9"/>
    <w:rsid w:val="00955391"/>
    <w:rsid w:val="009565A2"/>
    <w:rsid w:val="009609B4"/>
    <w:rsid w:val="0096331A"/>
    <w:rsid w:val="00963697"/>
    <w:rsid w:val="00963EFB"/>
    <w:rsid w:val="00966D5A"/>
    <w:rsid w:val="0097171B"/>
    <w:rsid w:val="00973C99"/>
    <w:rsid w:val="009751F8"/>
    <w:rsid w:val="00977375"/>
    <w:rsid w:val="009801AC"/>
    <w:rsid w:val="009813F0"/>
    <w:rsid w:val="00983CC3"/>
    <w:rsid w:val="00984906"/>
    <w:rsid w:val="00985162"/>
    <w:rsid w:val="009858B6"/>
    <w:rsid w:val="00990581"/>
    <w:rsid w:val="009942A7"/>
    <w:rsid w:val="00995A20"/>
    <w:rsid w:val="009A1CE9"/>
    <w:rsid w:val="009A5CC6"/>
    <w:rsid w:val="009A7299"/>
    <w:rsid w:val="009C1623"/>
    <w:rsid w:val="009C2AAD"/>
    <w:rsid w:val="009C73D5"/>
    <w:rsid w:val="009C75B5"/>
    <w:rsid w:val="009C7CAC"/>
    <w:rsid w:val="009D05C6"/>
    <w:rsid w:val="009D46B8"/>
    <w:rsid w:val="009D50A1"/>
    <w:rsid w:val="009D50AA"/>
    <w:rsid w:val="009D537D"/>
    <w:rsid w:val="009E0C0B"/>
    <w:rsid w:val="009E3A7E"/>
    <w:rsid w:val="009E4CD0"/>
    <w:rsid w:val="009E56CC"/>
    <w:rsid w:val="009E5AB1"/>
    <w:rsid w:val="009E6B50"/>
    <w:rsid w:val="009F09EA"/>
    <w:rsid w:val="009F2149"/>
    <w:rsid w:val="009F314C"/>
    <w:rsid w:val="009F50C6"/>
    <w:rsid w:val="009F6A65"/>
    <w:rsid w:val="00A043FE"/>
    <w:rsid w:val="00A060A5"/>
    <w:rsid w:val="00A06FE5"/>
    <w:rsid w:val="00A109CA"/>
    <w:rsid w:val="00A10A5A"/>
    <w:rsid w:val="00A159ED"/>
    <w:rsid w:val="00A1784C"/>
    <w:rsid w:val="00A20A5A"/>
    <w:rsid w:val="00A22E3A"/>
    <w:rsid w:val="00A2415B"/>
    <w:rsid w:val="00A24248"/>
    <w:rsid w:val="00A313AA"/>
    <w:rsid w:val="00A346FC"/>
    <w:rsid w:val="00A35718"/>
    <w:rsid w:val="00A43A43"/>
    <w:rsid w:val="00A5091C"/>
    <w:rsid w:val="00A53215"/>
    <w:rsid w:val="00A54EA4"/>
    <w:rsid w:val="00A553A5"/>
    <w:rsid w:val="00A555D2"/>
    <w:rsid w:val="00A61391"/>
    <w:rsid w:val="00A61822"/>
    <w:rsid w:val="00A63B94"/>
    <w:rsid w:val="00A67FA9"/>
    <w:rsid w:val="00A728F8"/>
    <w:rsid w:val="00A8060A"/>
    <w:rsid w:val="00A80FAB"/>
    <w:rsid w:val="00A85935"/>
    <w:rsid w:val="00A91BAC"/>
    <w:rsid w:val="00A91C23"/>
    <w:rsid w:val="00A92999"/>
    <w:rsid w:val="00A92FAA"/>
    <w:rsid w:val="00A9654D"/>
    <w:rsid w:val="00AA09FB"/>
    <w:rsid w:val="00AA2BBC"/>
    <w:rsid w:val="00AA49B2"/>
    <w:rsid w:val="00AA6442"/>
    <w:rsid w:val="00AA7343"/>
    <w:rsid w:val="00AB2461"/>
    <w:rsid w:val="00AB3BC3"/>
    <w:rsid w:val="00AB5198"/>
    <w:rsid w:val="00AB6DF0"/>
    <w:rsid w:val="00AC2AB8"/>
    <w:rsid w:val="00AC6A0D"/>
    <w:rsid w:val="00AD0005"/>
    <w:rsid w:val="00AD21AA"/>
    <w:rsid w:val="00AD3A58"/>
    <w:rsid w:val="00AD5522"/>
    <w:rsid w:val="00AE004E"/>
    <w:rsid w:val="00AE05AC"/>
    <w:rsid w:val="00AE1432"/>
    <w:rsid w:val="00AE294F"/>
    <w:rsid w:val="00AE2F63"/>
    <w:rsid w:val="00AE2FF7"/>
    <w:rsid w:val="00AE75A3"/>
    <w:rsid w:val="00AF29FC"/>
    <w:rsid w:val="00AF5AD8"/>
    <w:rsid w:val="00B22580"/>
    <w:rsid w:val="00B2596B"/>
    <w:rsid w:val="00B25FA2"/>
    <w:rsid w:val="00B30CC0"/>
    <w:rsid w:val="00B31F0A"/>
    <w:rsid w:val="00B325E2"/>
    <w:rsid w:val="00B373C2"/>
    <w:rsid w:val="00B37CC5"/>
    <w:rsid w:val="00B41105"/>
    <w:rsid w:val="00B42E71"/>
    <w:rsid w:val="00B44B64"/>
    <w:rsid w:val="00B4786C"/>
    <w:rsid w:val="00B51C77"/>
    <w:rsid w:val="00B5360B"/>
    <w:rsid w:val="00B540D1"/>
    <w:rsid w:val="00B5646C"/>
    <w:rsid w:val="00B57851"/>
    <w:rsid w:val="00B6081A"/>
    <w:rsid w:val="00B61AF9"/>
    <w:rsid w:val="00B67BCE"/>
    <w:rsid w:val="00B70404"/>
    <w:rsid w:val="00B73611"/>
    <w:rsid w:val="00B766E0"/>
    <w:rsid w:val="00B7744B"/>
    <w:rsid w:val="00B80BD6"/>
    <w:rsid w:val="00B8776E"/>
    <w:rsid w:val="00B87DB7"/>
    <w:rsid w:val="00B9024E"/>
    <w:rsid w:val="00B92578"/>
    <w:rsid w:val="00B96414"/>
    <w:rsid w:val="00B97E0B"/>
    <w:rsid w:val="00BA40D7"/>
    <w:rsid w:val="00BA5971"/>
    <w:rsid w:val="00BA6B94"/>
    <w:rsid w:val="00BA7B0D"/>
    <w:rsid w:val="00BB2B6B"/>
    <w:rsid w:val="00BB334E"/>
    <w:rsid w:val="00BB3CB0"/>
    <w:rsid w:val="00BB3CEA"/>
    <w:rsid w:val="00BB3DB7"/>
    <w:rsid w:val="00BC1180"/>
    <w:rsid w:val="00BC1276"/>
    <w:rsid w:val="00BC128C"/>
    <w:rsid w:val="00BD453F"/>
    <w:rsid w:val="00BD6A79"/>
    <w:rsid w:val="00BF0BF2"/>
    <w:rsid w:val="00BF3F2C"/>
    <w:rsid w:val="00BF409B"/>
    <w:rsid w:val="00BF654D"/>
    <w:rsid w:val="00C0075A"/>
    <w:rsid w:val="00C04227"/>
    <w:rsid w:val="00C05439"/>
    <w:rsid w:val="00C07129"/>
    <w:rsid w:val="00C07B2C"/>
    <w:rsid w:val="00C140CF"/>
    <w:rsid w:val="00C155B8"/>
    <w:rsid w:val="00C167ED"/>
    <w:rsid w:val="00C17A77"/>
    <w:rsid w:val="00C2030C"/>
    <w:rsid w:val="00C2070D"/>
    <w:rsid w:val="00C24AC0"/>
    <w:rsid w:val="00C26E1A"/>
    <w:rsid w:val="00C30053"/>
    <w:rsid w:val="00C34772"/>
    <w:rsid w:val="00C34D82"/>
    <w:rsid w:val="00C365F6"/>
    <w:rsid w:val="00C40B64"/>
    <w:rsid w:val="00C41291"/>
    <w:rsid w:val="00C41AFB"/>
    <w:rsid w:val="00C4275E"/>
    <w:rsid w:val="00C44B72"/>
    <w:rsid w:val="00C467F5"/>
    <w:rsid w:val="00C52B07"/>
    <w:rsid w:val="00C537F9"/>
    <w:rsid w:val="00C551D5"/>
    <w:rsid w:val="00C55D75"/>
    <w:rsid w:val="00C61909"/>
    <w:rsid w:val="00C62684"/>
    <w:rsid w:val="00C66450"/>
    <w:rsid w:val="00C72A90"/>
    <w:rsid w:val="00C752AA"/>
    <w:rsid w:val="00C81935"/>
    <w:rsid w:val="00C8400B"/>
    <w:rsid w:val="00C844BA"/>
    <w:rsid w:val="00C85C1B"/>
    <w:rsid w:val="00C95634"/>
    <w:rsid w:val="00C96691"/>
    <w:rsid w:val="00C96AC3"/>
    <w:rsid w:val="00C97835"/>
    <w:rsid w:val="00CA5963"/>
    <w:rsid w:val="00CA7A9E"/>
    <w:rsid w:val="00CB32DD"/>
    <w:rsid w:val="00CB5767"/>
    <w:rsid w:val="00CB6D0F"/>
    <w:rsid w:val="00CC11B4"/>
    <w:rsid w:val="00CC7855"/>
    <w:rsid w:val="00CD04DF"/>
    <w:rsid w:val="00CD2DB1"/>
    <w:rsid w:val="00CD3255"/>
    <w:rsid w:val="00CD470F"/>
    <w:rsid w:val="00CD6640"/>
    <w:rsid w:val="00CE1A8E"/>
    <w:rsid w:val="00CE2A25"/>
    <w:rsid w:val="00CE2C43"/>
    <w:rsid w:val="00CE2C50"/>
    <w:rsid w:val="00CE4CFA"/>
    <w:rsid w:val="00CE5110"/>
    <w:rsid w:val="00CE5C3F"/>
    <w:rsid w:val="00CE6F1D"/>
    <w:rsid w:val="00CF0FE3"/>
    <w:rsid w:val="00CF2E7C"/>
    <w:rsid w:val="00CF2F94"/>
    <w:rsid w:val="00CF4846"/>
    <w:rsid w:val="00CF6951"/>
    <w:rsid w:val="00D0025D"/>
    <w:rsid w:val="00D03A2C"/>
    <w:rsid w:val="00D03E70"/>
    <w:rsid w:val="00D051B5"/>
    <w:rsid w:val="00D0595F"/>
    <w:rsid w:val="00D05F08"/>
    <w:rsid w:val="00D06B4A"/>
    <w:rsid w:val="00D07D1D"/>
    <w:rsid w:val="00D1087E"/>
    <w:rsid w:val="00D13216"/>
    <w:rsid w:val="00D13765"/>
    <w:rsid w:val="00D14165"/>
    <w:rsid w:val="00D14B18"/>
    <w:rsid w:val="00D153F8"/>
    <w:rsid w:val="00D16818"/>
    <w:rsid w:val="00D204A6"/>
    <w:rsid w:val="00D217B8"/>
    <w:rsid w:val="00D22E8F"/>
    <w:rsid w:val="00D25159"/>
    <w:rsid w:val="00D25A1C"/>
    <w:rsid w:val="00D272B2"/>
    <w:rsid w:val="00D30D9A"/>
    <w:rsid w:val="00D31043"/>
    <w:rsid w:val="00D31842"/>
    <w:rsid w:val="00D32BE5"/>
    <w:rsid w:val="00D3405F"/>
    <w:rsid w:val="00D358B1"/>
    <w:rsid w:val="00D36EF6"/>
    <w:rsid w:val="00D377DC"/>
    <w:rsid w:val="00D4184A"/>
    <w:rsid w:val="00D428D1"/>
    <w:rsid w:val="00D4322B"/>
    <w:rsid w:val="00D46A5A"/>
    <w:rsid w:val="00D52DE4"/>
    <w:rsid w:val="00D53BDC"/>
    <w:rsid w:val="00D56715"/>
    <w:rsid w:val="00D61955"/>
    <w:rsid w:val="00D62D1B"/>
    <w:rsid w:val="00D638C4"/>
    <w:rsid w:val="00D65FDE"/>
    <w:rsid w:val="00D73255"/>
    <w:rsid w:val="00D734C2"/>
    <w:rsid w:val="00D73FE1"/>
    <w:rsid w:val="00D743E2"/>
    <w:rsid w:val="00D74ED7"/>
    <w:rsid w:val="00D77604"/>
    <w:rsid w:val="00D80720"/>
    <w:rsid w:val="00D81F30"/>
    <w:rsid w:val="00D83856"/>
    <w:rsid w:val="00D85803"/>
    <w:rsid w:val="00D85DB2"/>
    <w:rsid w:val="00D90F30"/>
    <w:rsid w:val="00D94D51"/>
    <w:rsid w:val="00D978C6"/>
    <w:rsid w:val="00DA014D"/>
    <w:rsid w:val="00DA04B9"/>
    <w:rsid w:val="00DA18DE"/>
    <w:rsid w:val="00DA195E"/>
    <w:rsid w:val="00DA2845"/>
    <w:rsid w:val="00DA537A"/>
    <w:rsid w:val="00DA5FAB"/>
    <w:rsid w:val="00DB47FF"/>
    <w:rsid w:val="00DB63DC"/>
    <w:rsid w:val="00DB7634"/>
    <w:rsid w:val="00DC00A6"/>
    <w:rsid w:val="00DC093D"/>
    <w:rsid w:val="00DC36FF"/>
    <w:rsid w:val="00DC5E17"/>
    <w:rsid w:val="00DC6014"/>
    <w:rsid w:val="00DD2045"/>
    <w:rsid w:val="00DE4271"/>
    <w:rsid w:val="00DE740F"/>
    <w:rsid w:val="00DE753C"/>
    <w:rsid w:val="00DF0818"/>
    <w:rsid w:val="00DF0E9F"/>
    <w:rsid w:val="00DF1563"/>
    <w:rsid w:val="00DF68C0"/>
    <w:rsid w:val="00DF7980"/>
    <w:rsid w:val="00E0012A"/>
    <w:rsid w:val="00E01941"/>
    <w:rsid w:val="00E02F2F"/>
    <w:rsid w:val="00E1087D"/>
    <w:rsid w:val="00E15B17"/>
    <w:rsid w:val="00E17659"/>
    <w:rsid w:val="00E17E09"/>
    <w:rsid w:val="00E2209F"/>
    <w:rsid w:val="00E2380C"/>
    <w:rsid w:val="00E26B79"/>
    <w:rsid w:val="00E30E99"/>
    <w:rsid w:val="00E31E07"/>
    <w:rsid w:val="00E35DBF"/>
    <w:rsid w:val="00E3678D"/>
    <w:rsid w:val="00E4090C"/>
    <w:rsid w:val="00E40F86"/>
    <w:rsid w:val="00E42338"/>
    <w:rsid w:val="00E43945"/>
    <w:rsid w:val="00E4496B"/>
    <w:rsid w:val="00E4521F"/>
    <w:rsid w:val="00E45B37"/>
    <w:rsid w:val="00E470FE"/>
    <w:rsid w:val="00E510BD"/>
    <w:rsid w:val="00E51BEB"/>
    <w:rsid w:val="00E51D09"/>
    <w:rsid w:val="00E52A8F"/>
    <w:rsid w:val="00E52F71"/>
    <w:rsid w:val="00E53BB5"/>
    <w:rsid w:val="00E541D5"/>
    <w:rsid w:val="00E54976"/>
    <w:rsid w:val="00E56A06"/>
    <w:rsid w:val="00E5701A"/>
    <w:rsid w:val="00E608E2"/>
    <w:rsid w:val="00E62E2E"/>
    <w:rsid w:val="00E658CF"/>
    <w:rsid w:val="00E71474"/>
    <w:rsid w:val="00E715DB"/>
    <w:rsid w:val="00E731FE"/>
    <w:rsid w:val="00E73573"/>
    <w:rsid w:val="00E73E25"/>
    <w:rsid w:val="00E7471B"/>
    <w:rsid w:val="00E75719"/>
    <w:rsid w:val="00E8034A"/>
    <w:rsid w:val="00E80F46"/>
    <w:rsid w:val="00E84D3C"/>
    <w:rsid w:val="00E8519C"/>
    <w:rsid w:val="00E85FBE"/>
    <w:rsid w:val="00E8700A"/>
    <w:rsid w:val="00E8745C"/>
    <w:rsid w:val="00E915EC"/>
    <w:rsid w:val="00E96F4A"/>
    <w:rsid w:val="00E97BDC"/>
    <w:rsid w:val="00EA0A17"/>
    <w:rsid w:val="00EA2050"/>
    <w:rsid w:val="00EA21D8"/>
    <w:rsid w:val="00EB330B"/>
    <w:rsid w:val="00EB3D5B"/>
    <w:rsid w:val="00EB3F0F"/>
    <w:rsid w:val="00EB6979"/>
    <w:rsid w:val="00EB791D"/>
    <w:rsid w:val="00EC56E1"/>
    <w:rsid w:val="00EC6E76"/>
    <w:rsid w:val="00ED0DF9"/>
    <w:rsid w:val="00ED5122"/>
    <w:rsid w:val="00EE19CB"/>
    <w:rsid w:val="00EE56AE"/>
    <w:rsid w:val="00EE75D1"/>
    <w:rsid w:val="00EF00D9"/>
    <w:rsid w:val="00F00B4D"/>
    <w:rsid w:val="00F00B96"/>
    <w:rsid w:val="00F041B1"/>
    <w:rsid w:val="00F050AB"/>
    <w:rsid w:val="00F11414"/>
    <w:rsid w:val="00F153A2"/>
    <w:rsid w:val="00F258CA"/>
    <w:rsid w:val="00F30ED3"/>
    <w:rsid w:val="00F33AFA"/>
    <w:rsid w:val="00F35DD7"/>
    <w:rsid w:val="00F4034D"/>
    <w:rsid w:val="00F40B70"/>
    <w:rsid w:val="00F439F1"/>
    <w:rsid w:val="00F44BBD"/>
    <w:rsid w:val="00F463B4"/>
    <w:rsid w:val="00F47713"/>
    <w:rsid w:val="00F5050F"/>
    <w:rsid w:val="00F5239F"/>
    <w:rsid w:val="00F531D1"/>
    <w:rsid w:val="00F65D54"/>
    <w:rsid w:val="00F7256F"/>
    <w:rsid w:val="00F75311"/>
    <w:rsid w:val="00F759FB"/>
    <w:rsid w:val="00F777EA"/>
    <w:rsid w:val="00F804DE"/>
    <w:rsid w:val="00F82D4F"/>
    <w:rsid w:val="00F864C5"/>
    <w:rsid w:val="00F872A8"/>
    <w:rsid w:val="00F93A92"/>
    <w:rsid w:val="00F94410"/>
    <w:rsid w:val="00FA0FE8"/>
    <w:rsid w:val="00FA16C7"/>
    <w:rsid w:val="00FA27BE"/>
    <w:rsid w:val="00FA415A"/>
    <w:rsid w:val="00FA6663"/>
    <w:rsid w:val="00FA7840"/>
    <w:rsid w:val="00FA79F7"/>
    <w:rsid w:val="00FB2BB7"/>
    <w:rsid w:val="00FC56E5"/>
    <w:rsid w:val="00FC7AFE"/>
    <w:rsid w:val="00FD155D"/>
    <w:rsid w:val="00FD17CC"/>
    <w:rsid w:val="00FD2ECB"/>
    <w:rsid w:val="00FD5586"/>
    <w:rsid w:val="00FF30A3"/>
    <w:rsid w:val="00FF7C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Pr>
      <w:sz w:val="24"/>
      <w:lang w:eastAsia="en-GB"/>
    </w:rPr>
  </w:style>
  <w:style w:type="paragraph" w:styleId="Heading1">
    <w:name w:val="heading 1"/>
    <w:aliases w:val="Section Heading,Section"/>
    <w:basedOn w:val="Normal"/>
    <w:next w:val="Normal"/>
    <w:qFormat/>
    <w:pPr>
      <w:keepNext/>
      <w:jc w:val="center"/>
      <w:outlineLvl w:val="0"/>
    </w:pPr>
    <w:rPr>
      <w:b/>
      <w:smallCaps/>
      <w:sz w:val="32"/>
    </w:rPr>
  </w:style>
  <w:style w:type="paragraph" w:styleId="Heading2">
    <w:name w:val="heading 2"/>
    <w:aliases w:val="Reset numbering,Major"/>
    <w:basedOn w:val="Normal"/>
    <w:next w:val="Normal"/>
    <w:qFormat/>
    <w:pPr>
      <w:keepNext/>
      <w:tabs>
        <w:tab w:val="right" w:pos="8820"/>
      </w:tabs>
      <w:jc w:val="both"/>
      <w:outlineLvl w:val="1"/>
    </w:pPr>
    <w:rPr>
      <w:b/>
    </w:rPr>
  </w:style>
  <w:style w:type="paragraph" w:styleId="Heading3">
    <w:name w:val="heading 3"/>
    <w:aliases w:val="Level 1 - 1"/>
    <w:basedOn w:val="Normal"/>
    <w:next w:val="Normal"/>
    <w:qFormat/>
    <w:pPr>
      <w:keepNext/>
      <w:jc w:val="right"/>
      <w:outlineLvl w:val="2"/>
    </w:pPr>
    <w:rPr>
      <w:b/>
    </w:rPr>
  </w:style>
  <w:style w:type="paragraph" w:styleId="Heading4">
    <w:name w:val="heading 4"/>
    <w:aliases w:val="Level 2 - a,Sub-Minor,20-F Heading 4"/>
    <w:basedOn w:val="Normal"/>
    <w:next w:val="Normal"/>
    <w:qFormat/>
    <w:pPr>
      <w:keepNext/>
      <w:ind w:left="720"/>
      <w:jc w:val="both"/>
      <w:outlineLvl w:val="3"/>
    </w:pPr>
    <w:rPr>
      <w:i/>
    </w:rPr>
  </w:style>
  <w:style w:type="paragraph" w:styleId="Heading5">
    <w:name w:val="heading 5"/>
    <w:aliases w:val="test,Level 3 - i"/>
    <w:basedOn w:val="Normal"/>
    <w:next w:val="Normal"/>
    <w:qFormat/>
    <w:pPr>
      <w:keepNext/>
      <w:outlineLvl w:val="4"/>
    </w:pPr>
    <w:rPr>
      <w:b/>
    </w:rPr>
  </w:style>
  <w:style w:type="paragraph" w:styleId="Heading6">
    <w:name w:val="heading 6"/>
    <w:aliases w:val="Legal Level 1."/>
    <w:basedOn w:val="Normal"/>
    <w:next w:val="Normal"/>
    <w:qFormat/>
    <w:pPr>
      <w:keepNext/>
      <w:jc w:val="center"/>
      <w:outlineLvl w:val="5"/>
    </w:pPr>
    <w:rPr>
      <w:b/>
    </w:rPr>
  </w:style>
  <w:style w:type="paragraph" w:styleId="Heading7">
    <w:name w:val="heading 7"/>
    <w:aliases w:val="Legal Level 1.1."/>
    <w:basedOn w:val="Normal"/>
    <w:next w:val="Normal"/>
    <w:qFormat/>
    <w:pPr>
      <w:keepNext/>
      <w:tabs>
        <w:tab w:val="left" w:pos="720"/>
        <w:tab w:val="right" w:pos="8820"/>
      </w:tabs>
      <w:ind w:left="720"/>
      <w:jc w:val="both"/>
      <w:outlineLvl w:val="6"/>
    </w:pPr>
    <w:rPr>
      <w:b/>
    </w:rPr>
  </w:style>
  <w:style w:type="paragraph" w:styleId="Heading8">
    <w:name w:val="heading 8"/>
    <w:aliases w:val="Legal Level 1.1.1."/>
    <w:basedOn w:val="Normal"/>
    <w:next w:val="Normal"/>
    <w:qFormat/>
    <w:pPr>
      <w:keepNext/>
      <w:jc w:val="both"/>
      <w:outlineLvl w:val="7"/>
    </w:pPr>
    <w:rPr>
      <w:i/>
    </w:rPr>
  </w:style>
  <w:style w:type="paragraph" w:styleId="Heading9">
    <w:name w:val="heading 9"/>
    <w:aliases w:val="Legal Level 1.1.1.1."/>
    <w:basedOn w:val="Normal"/>
    <w:next w:val="Normal"/>
    <w:qFormat/>
    <w:pPr>
      <w:keepNext/>
      <w:ind w:firstLine="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aliases w:val="Header5"/>
    <w:basedOn w:val="Normal"/>
    <w:link w:val="HeaderChar"/>
    <w:pPr>
      <w:tabs>
        <w:tab w:val="left" w:pos="1315"/>
      </w:tabs>
    </w:pPr>
    <w:rPr>
      <w:rFonts w:ascii="Arial" w:hAnsi="Arial"/>
      <w:b/>
      <w:sz w:val="28"/>
    </w:rPr>
  </w:style>
  <w:style w:type="paragraph" w:styleId="Footer">
    <w:name w:val="footer"/>
    <w:basedOn w:val="Normal"/>
    <w:semiHidden/>
    <w:pPr>
      <w:tabs>
        <w:tab w:val="center" w:pos="4153"/>
        <w:tab w:val="right" w:pos="8306"/>
      </w:tabs>
    </w:pPr>
    <w:rPr>
      <w:sz w:val="20"/>
    </w:rPr>
  </w:style>
  <w:style w:type="character" w:styleId="PageNumber">
    <w:name w:val="page number"/>
    <w:basedOn w:val="DefaultParagraphFont"/>
    <w:semiHidden/>
  </w:style>
  <w:style w:type="paragraph" w:customStyle="1" w:styleId="Style3">
    <w:name w:val="Style3"/>
    <w:basedOn w:val="Header"/>
    <w:rPr>
      <w:b w:val="0"/>
    </w:rPr>
  </w:style>
  <w:style w:type="paragraph" w:styleId="BodyText">
    <w:name w:val="Body Text"/>
    <w:basedOn w:val="Normal"/>
    <w:semiHidden/>
    <w:pPr>
      <w:jc w:val="center"/>
    </w:pPr>
    <w:rPr>
      <w:b/>
      <w:sz w:val="32"/>
    </w:rPr>
  </w:style>
  <w:style w:type="paragraph" w:styleId="BodyText2">
    <w:name w:val="Body Text 2"/>
    <w:basedOn w:val="Normal"/>
    <w:semiHidden/>
    <w:pPr>
      <w:jc w:val="both"/>
    </w:pPr>
  </w:style>
  <w:style w:type="paragraph" w:styleId="BodyTextIndent">
    <w:name w:val="Body Text Indent"/>
    <w:basedOn w:val="Normal"/>
    <w:semiHidden/>
    <w:pPr>
      <w:tabs>
        <w:tab w:val="left" w:pos="720"/>
      </w:tabs>
      <w:ind w:left="720" w:hanging="72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firstLine="720"/>
      <w:jc w:val="both"/>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ind w:right="612"/>
      <w:jc w:val="both"/>
    </w:pPr>
    <w:rPr>
      <w:rFonts w:ascii="Arial" w:hAnsi="Arial"/>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customStyle="1" w:styleId="Confidentiality">
    <w:name w:val="Confidentiality"/>
    <w:basedOn w:val="Normal"/>
    <w:pPr>
      <w:spacing w:after="240"/>
    </w:pPr>
    <w:rPr>
      <w:rFonts w:ascii="Arial" w:hAnsi="Arial"/>
      <w:b/>
      <w:i/>
      <w:spacing w:val="4"/>
      <w:sz w:val="21"/>
    </w:rPr>
  </w:style>
  <w:style w:type="paragraph" w:customStyle="1" w:styleId="Section2">
    <w:name w:val="Section2"/>
    <w:basedOn w:val="Header"/>
    <w:rPr>
      <w:b w:val="0"/>
      <w:i/>
      <w:sz w:val="24"/>
    </w:rPr>
  </w:style>
  <w:style w:type="paragraph" w:customStyle="1" w:styleId="yesaheading">
    <w:name w:val="yesaheading"/>
    <w:basedOn w:val="Normal"/>
    <w:pPr>
      <w:numPr>
        <w:numId w:val="2"/>
      </w:numPr>
      <w:jc w:val="both"/>
    </w:pPr>
    <w:rPr>
      <w:rFonts w:ascii="Arial" w:hAnsi="Arial"/>
      <w:b/>
      <w:sz w:val="20"/>
    </w:rPr>
  </w:style>
  <w:style w:type="paragraph" w:customStyle="1" w:styleId="Section1">
    <w:name w:val="Section1"/>
    <w:basedOn w:val="Header"/>
    <w:link w:val="Section1Char"/>
    <w:rPr>
      <w:b w:val="0"/>
      <w:i/>
      <w:sz w:val="24"/>
    </w:rPr>
  </w:style>
  <w:style w:type="paragraph" w:customStyle="1" w:styleId="Section3">
    <w:name w:val="Section3"/>
    <w:basedOn w:val="Header"/>
    <w:pPr>
      <w:tabs>
        <w:tab w:val="clear" w:pos="1315"/>
        <w:tab w:val="left" w:pos="1134"/>
      </w:tabs>
    </w:pPr>
    <w:rPr>
      <w:b w:val="0"/>
      <w:i/>
      <w:sz w:val="24"/>
    </w:rPr>
  </w:style>
  <w:style w:type="paragraph" w:customStyle="1" w:styleId="Section4">
    <w:name w:val="Section4"/>
    <w:basedOn w:val="Header"/>
    <w:rPr>
      <w:b w:val="0"/>
      <w:i/>
      <w:sz w:val="24"/>
    </w:rPr>
  </w:style>
  <w:style w:type="paragraph" w:customStyle="1" w:styleId="Section5">
    <w:name w:val="Section5"/>
    <w:basedOn w:val="Header"/>
    <w:rPr>
      <w:b w:val="0"/>
      <w:i/>
      <w:sz w:val="24"/>
    </w:rPr>
  </w:style>
  <w:style w:type="paragraph" w:customStyle="1" w:styleId="Section6">
    <w:name w:val="Section6"/>
    <w:basedOn w:val="Header"/>
    <w:rPr>
      <w:b w:val="0"/>
      <w:i/>
      <w:sz w:val="24"/>
    </w:rPr>
  </w:style>
  <w:style w:type="paragraph" w:customStyle="1" w:styleId="Section7">
    <w:name w:val="Section7"/>
    <w:basedOn w:val="Header"/>
    <w:pPr>
      <w:tabs>
        <w:tab w:val="clear" w:pos="1315"/>
        <w:tab w:val="left" w:pos="1134"/>
      </w:tabs>
    </w:pPr>
    <w:rPr>
      <w:b w:val="0"/>
      <w:i/>
      <w:sz w:val="24"/>
    </w:rPr>
  </w:style>
  <w:style w:type="paragraph" w:customStyle="1" w:styleId="Section8">
    <w:name w:val="Section8"/>
    <w:basedOn w:val="Header"/>
    <w:pPr>
      <w:tabs>
        <w:tab w:val="clear" w:pos="1315"/>
        <w:tab w:val="left" w:pos="1134"/>
      </w:tabs>
    </w:pPr>
    <w:rPr>
      <w:b w:val="0"/>
      <w:i/>
      <w:sz w:val="24"/>
    </w:rPr>
  </w:style>
  <w:style w:type="paragraph" w:customStyle="1" w:styleId="Section9">
    <w:name w:val="Section9"/>
    <w:basedOn w:val="Header"/>
    <w:pPr>
      <w:tabs>
        <w:tab w:val="clear" w:pos="1315"/>
        <w:tab w:val="left" w:pos="1134"/>
      </w:tabs>
    </w:pPr>
    <w:rPr>
      <w:b w:val="0"/>
      <w:i/>
      <w:sz w:val="24"/>
    </w:rPr>
  </w:style>
  <w:style w:type="paragraph" w:customStyle="1" w:styleId="Section10">
    <w:name w:val="Section10"/>
    <w:basedOn w:val="Header"/>
    <w:pPr>
      <w:tabs>
        <w:tab w:val="clear" w:pos="1315"/>
        <w:tab w:val="left" w:pos="1134"/>
      </w:tabs>
    </w:pPr>
    <w:rPr>
      <w:b w:val="0"/>
      <w:i/>
      <w:sz w:val="24"/>
    </w:rPr>
  </w:style>
  <w:style w:type="paragraph" w:customStyle="1" w:styleId="Section11">
    <w:name w:val="Section11"/>
    <w:basedOn w:val="Header"/>
    <w:pPr>
      <w:tabs>
        <w:tab w:val="clear" w:pos="1315"/>
        <w:tab w:val="left" w:pos="1134"/>
      </w:tabs>
    </w:pPr>
    <w:rPr>
      <w:b w:val="0"/>
      <w:i/>
      <w:sz w:val="24"/>
    </w:rPr>
  </w:style>
  <w:style w:type="paragraph" w:customStyle="1" w:styleId="Section12">
    <w:name w:val="Section12"/>
    <w:basedOn w:val="Header"/>
    <w:pPr>
      <w:tabs>
        <w:tab w:val="clear" w:pos="1315"/>
        <w:tab w:val="left" w:pos="1134"/>
      </w:tabs>
    </w:pPr>
    <w:rPr>
      <w:b w:val="0"/>
      <w:i/>
      <w:sz w:val="24"/>
    </w:rPr>
  </w:style>
  <w:style w:type="paragraph" w:styleId="TOC2">
    <w:name w:val="toc 2"/>
    <w:basedOn w:val="Normal"/>
    <w:next w:val="Normal"/>
    <w:autoRedefine/>
    <w:pPr>
      <w:ind w:left="240"/>
    </w:pPr>
    <w:rPr>
      <w:rFonts w:asciiTheme="minorHAnsi" w:hAnsiTheme="minorHAnsi" w:cstheme="minorHAnsi"/>
      <w:smallCaps/>
      <w:sz w:val="20"/>
    </w:rPr>
  </w:style>
  <w:style w:type="paragraph" w:styleId="TOC1">
    <w:name w:val="toc 1"/>
    <w:basedOn w:val="Section1"/>
    <w:next w:val="Normal"/>
    <w:link w:val="TOC1Char"/>
    <w:autoRedefine/>
    <w:pPr>
      <w:tabs>
        <w:tab w:val="clear" w:pos="1315"/>
      </w:tabs>
      <w:spacing w:before="120" w:after="120"/>
    </w:pPr>
    <w:rPr>
      <w:rFonts w:asciiTheme="minorHAnsi" w:hAnsiTheme="minorHAnsi" w:cstheme="minorHAnsi"/>
      <w:b/>
      <w:bCs/>
      <w:i w:val="0"/>
      <w:caps/>
      <w:sz w:val="20"/>
    </w:rPr>
  </w:style>
  <w:style w:type="paragraph" w:styleId="TOC3">
    <w:name w:val="toc 3"/>
    <w:basedOn w:val="Normal"/>
    <w:next w:val="Normal"/>
    <w:autoRedefine/>
    <w:pPr>
      <w:ind w:left="480"/>
    </w:pPr>
    <w:rPr>
      <w:rFonts w:asciiTheme="minorHAnsi" w:hAnsiTheme="minorHAnsi" w:cstheme="minorHAnsi"/>
      <w:i/>
      <w:iCs/>
      <w:sz w:val="20"/>
    </w:r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character" w:styleId="Hyperlink">
    <w:name w:val="Hyperlink"/>
    <w:rPr>
      <w:color w:val="0000FF"/>
      <w:u w:val="single"/>
    </w:rPr>
  </w:style>
  <w:style w:type="character" w:customStyle="1" w:styleId="DeltaViewInsertion">
    <w:name w:val="DeltaView Insertion"/>
    <w:rPr>
      <w:color w:val="0000FF"/>
      <w:spacing w:val="0"/>
      <w:u w:val="double"/>
    </w:rPr>
  </w:style>
  <w:style w:type="paragraph" w:customStyle="1" w:styleId="FWNL1">
    <w:name w:val="FWN_L1"/>
    <w:basedOn w:val="Normal"/>
    <w:pPr>
      <w:numPr>
        <w:numId w:val="1"/>
      </w:numPr>
      <w:spacing w:after="240"/>
      <w:jc w:val="both"/>
    </w:pPr>
  </w:style>
  <w:style w:type="paragraph" w:customStyle="1" w:styleId="FWNL2">
    <w:name w:val="FWN_L2"/>
    <w:basedOn w:val="FWNL1"/>
    <w:pPr>
      <w:numPr>
        <w:ilvl w:val="1"/>
      </w:numPr>
      <w:tabs>
        <w:tab w:val="clear" w:pos="720"/>
        <w:tab w:val="num" w:pos="360"/>
        <w:tab w:val="num" w:pos="1440"/>
        <w:tab w:val="num" w:pos="1500"/>
      </w:tabs>
      <w:ind w:left="1440" w:hanging="360"/>
    </w:pPr>
  </w:style>
  <w:style w:type="paragraph" w:customStyle="1" w:styleId="FWNL3">
    <w:name w:val="FWN_L3"/>
    <w:basedOn w:val="FWNL2"/>
    <w:pPr>
      <w:numPr>
        <w:ilvl w:val="2"/>
      </w:numPr>
      <w:tabs>
        <w:tab w:val="clear" w:pos="1440"/>
        <w:tab w:val="num" w:pos="360"/>
        <w:tab w:val="num" w:pos="2160"/>
        <w:tab w:val="num" w:pos="2220"/>
      </w:tabs>
      <w:ind w:left="2160" w:hanging="360"/>
    </w:pPr>
  </w:style>
  <w:style w:type="paragraph" w:customStyle="1" w:styleId="FWNL4">
    <w:name w:val="FWN_L4"/>
    <w:basedOn w:val="FWNL3"/>
    <w:pPr>
      <w:numPr>
        <w:ilvl w:val="3"/>
      </w:numPr>
      <w:tabs>
        <w:tab w:val="clear" w:pos="2160"/>
        <w:tab w:val="num" w:pos="360"/>
        <w:tab w:val="num" w:pos="1500"/>
        <w:tab w:val="num" w:pos="2880"/>
        <w:tab w:val="num" w:pos="2940"/>
      </w:tabs>
      <w:ind w:left="2880" w:hanging="360"/>
    </w:pPr>
  </w:style>
  <w:style w:type="paragraph" w:customStyle="1" w:styleId="FWNL5">
    <w:name w:val="FWN_L5"/>
    <w:basedOn w:val="FWNL4"/>
    <w:pPr>
      <w:numPr>
        <w:ilvl w:val="4"/>
      </w:numPr>
      <w:tabs>
        <w:tab w:val="clear" w:pos="2880"/>
        <w:tab w:val="num" w:pos="360"/>
        <w:tab w:val="num" w:pos="1500"/>
        <w:tab w:val="num" w:pos="3600"/>
        <w:tab w:val="num" w:pos="3660"/>
      </w:tabs>
      <w:ind w:left="3600" w:hanging="360"/>
    </w:pPr>
  </w:style>
  <w:style w:type="paragraph" w:customStyle="1" w:styleId="FWNL6">
    <w:name w:val="FWN_L6"/>
    <w:basedOn w:val="FWNL5"/>
    <w:pPr>
      <w:numPr>
        <w:ilvl w:val="5"/>
      </w:numPr>
      <w:tabs>
        <w:tab w:val="clear" w:pos="3600"/>
        <w:tab w:val="num" w:pos="360"/>
        <w:tab w:val="num" w:pos="1500"/>
        <w:tab w:val="num" w:pos="4320"/>
        <w:tab w:val="num" w:pos="4380"/>
      </w:tabs>
      <w:ind w:left="4320" w:hanging="360"/>
    </w:pPr>
  </w:style>
  <w:style w:type="paragraph" w:customStyle="1" w:styleId="FWNL7">
    <w:name w:val="FWN_L7"/>
    <w:basedOn w:val="FWNL6"/>
    <w:pPr>
      <w:numPr>
        <w:ilvl w:val="6"/>
      </w:numPr>
      <w:tabs>
        <w:tab w:val="clear" w:pos="4320"/>
        <w:tab w:val="num" w:pos="360"/>
        <w:tab w:val="num" w:pos="1500"/>
        <w:tab w:val="num" w:pos="5040"/>
        <w:tab w:val="num" w:pos="5100"/>
      </w:tabs>
      <w:ind w:left="5040" w:hanging="360"/>
    </w:pPr>
  </w:style>
  <w:style w:type="paragraph" w:customStyle="1" w:styleId="a">
    <w:name w:val="(a)"/>
    <w:basedOn w:val="BodyText"/>
    <w:pPr>
      <w:spacing w:after="240"/>
      <w:ind w:left="720" w:hanging="720"/>
      <w:jc w:val="both"/>
    </w:pPr>
    <w:rPr>
      <w:b w:val="0"/>
      <w:sz w:val="18"/>
    </w:rPr>
  </w:style>
  <w:style w:type="paragraph" w:customStyle="1" w:styleId="BodySingle">
    <w:name w:val="Body Single"/>
    <w:basedOn w:val="BodyText"/>
    <w:pPr>
      <w:spacing w:line="260" w:lineRule="atLeast"/>
      <w:jc w:val="left"/>
    </w:pPr>
    <w:rPr>
      <w:b w:val="0"/>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Title">
    <w:name w:val="Title"/>
    <w:basedOn w:val="Normal"/>
    <w:qFormat/>
    <w:pPr>
      <w:jc w:val="center"/>
    </w:pPr>
    <w:rPr>
      <w:b/>
      <w:sz w:val="28"/>
      <w14:shadow w14:blurRad="50800" w14:dist="38100" w14:dir="2700000" w14:sx="100000" w14:sy="100000" w14:kx="0" w14:ky="0" w14:algn="tl">
        <w14:srgbClr w14:val="000000">
          <w14:alpha w14:val="60000"/>
        </w14:srgbClr>
      </w14:shadow>
    </w:rPr>
  </w:style>
  <w:style w:type="character" w:styleId="Emphasis">
    <w:name w:val="Emphasis"/>
    <w:qFormat/>
    <w:rPr>
      <w:i/>
    </w:rPr>
  </w:style>
  <w:style w:type="paragraph" w:customStyle="1" w:styleId="QuarterlyBodyText">
    <w:name w:val="Quarterly BodyText"/>
    <w:basedOn w:val="Normal"/>
    <w:pPr>
      <w:tabs>
        <w:tab w:val="left" w:pos="3600"/>
      </w:tabs>
      <w:spacing w:after="240"/>
      <w:jc w:val="both"/>
    </w:pPr>
    <w:rPr>
      <w:color w:val="000000"/>
      <w:sz w:val="20"/>
    </w:rPr>
  </w:style>
  <w:style w:type="paragraph" w:styleId="BalloonText">
    <w:name w:val="Balloon Text"/>
    <w:basedOn w:val="Normal"/>
    <w:semiHidden/>
    <w:rPr>
      <w:rFonts w:ascii="Tahoma" w:hAnsi="Tahoma" w:cs="Times New Roman Bold"/>
      <w:sz w:val="16"/>
      <w:szCs w:val="16"/>
    </w:rPr>
  </w:style>
  <w:style w:type="paragraph" w:customStyle="1" w:styleId="Bulletheadings">
    <w:name w:val="Bullet headings"/>
    <w:basedOn w:val="Normal"/>
    <w:pPr>
      <w:ind w:left="560" w:hanging="560"/>
    </w:pPr>
    <w:rPr>
      <w:snapToGrid w:val="0"/>
      <w:color w:val="000000"/>
      <w:sz w:val="28"/>
    </w:rPr>
  </w:style>
  <w:style w:type="paragraph" w:customStyle="1" w:styleId="Style30">
    <w:name w:val="Style 3"/>
    <w:basedOn w:val="Normal"/>
    <w:pPr>
      <w:widowControl w:val="0"/>
      <w:autoSpaceDE w:val="0"/>
      <w:autoSpaceDN w:val="0"/>
      <w:spacing w:before="324"/>
    </w:pPr>
    <w:rPr>
      <w:sz w:val="20"/>
      <w:szCs w:val="24"/>
      <w:lang w:val="en-US"/>
    </w:rPr>
  </w:style>
  <w:style w:type="paragraph" w:customStyle="1" w:styleId="a-head-1">
    <w:name w:val="a-head-1"/>
    <w:rPr>
      <w:rFonts w:ascii="Arial" w:hAnsi="Arial"/>
      <w:b/>
      <w:sz w:val="36"/>
      <w:szCs w:val="36"/>
      <w:lang w:val="en-GB" w:eastAsia="en-US"/>
    </w:rPr>
  </w:style>
  <w:style w:type="character" w:styleId="Strong">
    <w:name w:val="Strong"/>
    <w:qFormat/>
    <w:rPr>
      <w:b/>
    </w:rPr>
  </w:style>
  <w:style w:type="character" w:styleId="FollowedHyperlink">
    <w:name w:val="FollowedHyperlink"/>
    <w:semiHidden/>
    <w:rPr>
      <w:color w:val="800080"/>
      <w:u w:val="single"/>
    </w:rPr>
  </w:style>
  <w:style w:type="paragraph" w:customStyle="1" w:styleId="apt">
    <w:name w:val="apt"/>
    <w:basedOn w:val="Normal"/>
    <w:pPr>
      <w:tabs>
        <w:tab w:val="left" w:pos="720"/>
      </w:tabs>
      <w:jc w:val="both"/>
    </w:pPr>
    <w:rPr>
      <w:b/>
      <w:sz w:val="18"/>
    </w:rPr>
  </w:style>
  <w:style w:type="paragraph" w:customStyle="1" w:styleId="QuartelyHeading1">
    <w:name w:val="Quartely Heading 1"/>
    <w:basedOn w:val="QuarterlyBodyText"/>
    <w:next w:val="QuarterlyBodyText"/>
    <w:rPr>
      <w:rFonts w:ascii="Times New Roman Bold" w:hAnsi="Times New Roman Bold"/>
      <w:b/>
      <w:smallCaps/>
      <w:sz w:val="24"/>
      <w:lang w:eastAsia="en-US"/>
    </w:rPr>
  </w:style>
  <w:style w:type="paragraph" w:customStyle="1" w:styleId="QuarterlyHeading2">
    <w:name w:val="Quarterly Heading 2"/>
    <w:basedOn w:val="QuarterlyBodyText"/>
    <w:next w:val="QuarterlyBodyText"/>
    <w:rPr>
      <w:rFonts w:ascii="Times New Roman Bold" w:hAnsi="Times New Roman Bold"/>
      <w:b/>
      <w:sz w:val="24"/>
      <w:lang w:eastAsia="en-US"/>
    </w:rPr>
  </w:style>
  <w:style w:type="paragraph" w:customStyle="1" w:styleId="QuarterlyHeading3">
    <w:name w:val="Quarterly Heading 3"/>
    <w:basedOn w:val="QuarterlyBodyText"/>
    <w:next w:val="QuarterlyBodyText"/>
    <w:pPr>
      <w:tabs>
        <w:tab w:val="left" w:pos="357"/>
      </w:tabs>
    </w:pPr>
    <w:rPr>
      <w:rFonts w:ascii="Times New Roman Bold" w:hAnsi="Times New Roman Bold"/>
      <w:b/>
      <w:i/>
      <w:lang w:eastAsia="en-US"/>
    </w:rPr>
  </w:style>
  <w:style w:type="paragraph" w:customStyle="1" w:styleId="QuarterlyHeading4">
    <w:name w:val="Quarterly Heading 4"/>
    <w:basedOn w:val="QuarterlyHeading3"/>
    <w:next w:val="QuarterlyBodyText"/>
    <w:rPr>
      <w:rFonts w:ascii="Times New Roman" w:hAnsi="Times New Roman"/>
      <w:b w:val="0"/>
    </w:rPr>
  </w:style>
  <w:style w:type="paragraph" w:styleId="EndnoteText">
    <w:name w:val="endnote text"/>
    <w:basedOn w:val="Normal"/>
    <w:semiHidden/>
    <w:rPr>
      <w:sz w:val="20"/>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lockText">
    <w:name w:val="Block Text"/>
    <w:basedOn w:val="Normal"/>
    <w:semiHidden/>
    <w:pPr>
      <w:ind w:left="-142" w:right="-567"/>
      <w:jc w:val="both"/>
    </w:pPr>
    <w:rPr>
      <w:i/>
      <w:sz w:val="18"/>
    </w:rPr>
  </w:style>
  <w:style w:type="paragraph" w:customStyle="1" w:styleId="Default">
    <w:name w:val="Default"/>
    <w:rPr>
      <w:rFonts w:ascii="Vodafone Rg" w:hAnsi="Vodafone Rg"/>
      <w:snapToGrid w:val="0"/>
      <w:color w:val="000000"/>
      <w:sz w:val="24"/>
      <w:lang w:val="en-GB" w:eastAsia="en-US"/>
    </w:rPr>
  </w:style>
  <w:style w:type="character" w:styleId="EndnoteReference">
    <w:name w:val="endnote reference"/>
    <w:semiHidden/>
    <w:rPr>
      <w:vertAlign w:val="superscript"/>
    </w:rPr>
  </w:style>
  <w:style w:type="paragraph" w:styleId="ListParagraph">
    <w:name w:val="List Paragraph"/>
    <w:basedOn w:val="Normal"/>
    <w:qFormat/>
    <w:pPr>
      <w:ind w:left="720"/>
    </w:pPr>
  </w:style>
  <w:style w:type="paragraph" w:styleId="Revision">
    <w:name w:val="Revision"/>
    <w:hidden/>
    <w:semiHidden/>
    <w:rPr>
      <w:sz w:val="24"/>
      <w:lang w:val="en-GB" w:eastAsia="en-GB"/>
    </w:rPr>
  </w:style>
  <w:style w:type="paragraph" w:customStyle="1" w:styleId="quarterlyheading1">
    <w:name w:val="quarterly heading 1"/>
    <w:basedOn w:val="Header"/>
    <w:rsid w:val="00351014"/>
    <w:pPr>
      <w:outlineLvl w:val="0"/>
    </w:pPr>
    <w:rPr>
      <w:rFonts w:ascii="Times New Roman Bold" w:hAnsi="Times New Roman Bold"/>
      <w:smallCaps/>
      <w:color w:val="000000"/>
      <w:sz w:val="24"/>
    </w:rPr>
  </w:style>
  <w:style w:type="paragraph" w:styleId="NormalWeb">
    <w:name w:val="Normal (Web)"/>
    <w:basedOn w:val="Normal"/>
    <w:uiPriority w:val="99"/>
    <w:semiHidden/>
    <w:unhideWhenUsed/>
    <w:rsid w:val="00C81935"/>
    <w:pPr>
      <w:spacing w:before="100" w:beforeAutospacing="1" w:after="100" w:afterAutospacing="1"/>
    </w:pPr>
    <w:rPr>
      <w:rFonts w:eastAsiaTheme="minorHAnsi"/>
      <w:szCs w:val="24"/>
      <w:lang w:eastAsia="en-IE"/>
    </w:rPr>
  </w:style>
  <w:style w:type="character" w:customStyle="1" w:styleId="HeaderChar">
    <w:name w:val="Header Char"/>
    <w:aliases w:val="Header5 Char"/>
    <w:basedOn w:val="DefaultParagraphFont"/>
    <w:link w:val="Header"/>
    <w:rsid w:val="0022655E"/>
    <w:rPr>
      <w:rFonts w:ascii="Arial" w:hAnsi="Arial"/>
      <w:b/>
      <w:sz w:val="28"/>
      <w:lang w:val="en-GB" w:eastAsia="en-GB"/>
    </w:rPr>
  </w:style>
  <w:style w:type="paragraph" w:customStyle="1" w:styleId="Heading1BondDoc">
    <w:name w:val="Heading 1 Bond Doc"/>
    <w:basedOn w:val="Heading1"/>
    <w:rsid w:val="006E48F4"/>
    <w:pPr>
      <w:spacing w:before="240" w:after="60"/>
      <w:jc w:val="left"/>
    </w:pPr>
    <w:rPr>
      <w:rFonts w:ascii="Arial" w:hAnsi="Arial"/>
      <w:b w:val="0"/>
      <w:smallCaps w:val="0"/>
      <w:kern w:val="28"/>
      <w:sz w:val="28"/>
      <w:lang w:eastAsia="en-US"/>
    </w:rPr>
  </w:style>
  <w:style w:type="paragraph" w:styleId="TOCHeading">
    <w:name w:val="TOC Heading"/>
    <w:basedOn w:val="Heading1"/>
    <w:next w:val="Normal"/>
    <w:unhideWhenUsed/>
    <w:qFormat/>
    <w:rsid w:val="000C6162"/>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character" w:customStyle="1" w:styleId="Section1Char">
    <w:name w:val="Section1 Char"/>
    <w:basedOn w:val="HeaderChar"/>
    <w:link w:val="Section1"/>
    <w:rsid w:val="003010EF"/>
    <w:rPr>
      <w:rFonts w:ascii="Arial" w:hAnsi="Arial"/>
      <w:b w:val="0"/>
      <w:i/>
      <w:sz w:val="24"/>
      <w:lang w:val="en-GB" w:eastAsia="en-GB"/>
    </w:rPr>
  </w:style>
  <w:style w:type="character" w:customStyle="1" w:styleId="TOC1Char">
    <w:name w:val="TOC 1 Char"/>
    <w:basedOn w:val="Section1Char"/>
    <w:link w:val="TOC1"/>
    <w:rsid w:val="003010EF"/>
    <w:rPr>
      <w:rFonts w:asciiTheme="minorHAnsi" w:hAnsiTheme="minorHAnsi" w:cstheme="minorHAnsi"/>
      <w:b/>
      <w:bCs/>
      <w:i w:val="0"/>
      <w:caps/>
      <w:sz w:val="24"/>
      <w:lang w:val="en-GB" w:eastAsia="en-GB"/>
    </w:rPr>
  </w:style>
  <w:style w:type="paragraph" w:styleId="CommentSubject">
    <w:name w:val="annotation subject"/>
    <w:basedOn w:val="CommentText"/>
    <w:next w:val="CommentText"/>
    <w:link w:val="CommentSubjectChar"/>
    <w:semiHidden/>
    <w:unhideWhenUsed/>
    <w:rsid w:val="009D05C6"/>
    <w:rPr>
      <w:b/>
      <w:bCs/>
    </w:rPr>
  </w:style>
  <w:style w:type="character" w:customStyle="1" w:styleId="CommentTextChar">
    <w:name w:val="Comment Text Char"/>
    <w:basedOn w:val="DefaultParagraphFont"/>
    <w:link w:val="CommentText"/>
    <w:semiHidden/>
    <w:rsid w:val="009D05C6"/>
    <w:rPr>
      <w:lang w:val="en-GB" w:eastAsia="en-GB"/>
    </w:rPr>
  </w:style>
  <w:style w:type="character" w:customStyle="1" w:styleId="CommentSubjectChar">
    <w:name w:val="Comment Subject Char"/>
    <w:basedOn w:val="CommentTextChar"/>
    <w:link w:val="CommentSubject"/>
    <w:semiHidden/>
    <w:rsid w:val="009D05C6"/>
    <w:rPr>
      <w:b/>
      <w:bCs/>
      <w:lang w:val="en-GB" w:eastAsia="en-GB"/>
    </w:rPr>
  </w:style>
  <w:style w:type="character" w:customStyle="1" w:styleId="st1">
    <w:name w:val="st1"/>
    <w:basedOn w:val="DefaultParagraphFont"/>
    <w:rsid w:val="006705E8"/>
  </w:style>
  <w:style w:type="character" w:customStyle="1" w:styleId="FootnoteTextChar">
    <w:name w:val="Footnote Text Char"/>
    <w:basedOn w:val="DefaultParagraphFont"/>
    <w:link w:val="FootnoteText"/>
    <w:semiHidden/>
    <w:rsid w:val="00D22E8F"/>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Pr>
      <w:sz w:val="24"/>
      <w:lang w:eastAsia="en-GB"/>
    </w:rPr>
  </w:style>
  <w:style w:type="paragraph" w:styleId="Heading1">
    <w:name w:val="heading 1"/>
    <w:aliases w:val="Section Heading,Section"/>
    <w:basedOn w:val="Normal"/>
    <w:next w:val="Normal"/>
    <w:qFormat/>
    <w:pPr>
      <w:keepNext/>
      <w:jc w:val="center"/>
      <w:outlineLvl w:val="0"/>
    </w:pPr>
    <w:rPr>
      <w:b/>
      <w:smallCaps/>
      <w:sz w:val="32"/>
    </w:rPr>
  </w:style>
  <w:style w:type="paragraph" w:styleId="Heading2">
    <w:name w:val="heading 2"/>
    <w:aliases w:val="Reset numbering,Major"/>
    <w:basedOn w:val="Normal"/>
    <w:next w:val="Normal"/>
    <w:qFormat/>
    <w:pPr>
      <w:keepNext/>
      <w:tabs>
        <w:tab w:val="right" w:pos="8820"/>
      </w:tabs>
      <w:jc w:val="both"/>
      <w:outlineLvl w:val="1"/>
    </w:pPr>
    <w:rPr>
      <w:b/>
    </w:rPr>
  </w:style>
  <w:style w:type="paragraph" w:styleId="Heading3">
    <w:name w:val="heading 3"/>
    <w:aliases w:val="Level 1 - 1"/>
    <w:basedOn w:val="Normal"/>
    <w:next w:val="Normal"/>
    <w:qFormat/>
    <w:pPr>
      <w:keepNext/>
      <w:jc w:val="right"/>
      <w:outlineLvl w:val="2"/>
    </w:pPr>
    <w:rPr>
      <w:b/>
    </w:rPr>
  </w:style>
  <w:style w:type="paragraph" w:styleId="Heading4">
    <w:name w:val="heading 4"/>
    <w:aliases w:val="Level 2 - a,Sub-Minor,20-F Heading 4"/>
    <w:basedOn w:val="Normal"/>
    <w:next w:val="Normal"/>
    <w:qFormat/>
    <w:pPr>
      <w:keepNext/>
      <w:ind w:left="720"/>
      <w:jc w:val="both"/>
      <w:outlineLvl w:val="3"/>
    </w:pPr>
    <w:rPr>
      <w:i/>
    </w:rPr>
  </w:style>
  <w:style w:type="paragraph" w:styleId="Heading5">
    <w:name w:val="heading 5"/>
    <w:aliases w:val="test,Level 3 - i"/>
    <w:basedOn w:val="Normal"/>
    <w:next w:val="Normal"/>
    <w:qFormat/>
    <w:pPr>
      <w:keepNext/>
      <w:outlineLvl w:val="4"/>
    </w:pPr>
    <w:rPr>
      <w:b/>
    </w:rPr>
  </w:style>
  <w:style w:type="paragraph" w:styleId="Heading6">
    <w:name w:val="heading 6"/>
    <w:aliases w:val="Legal Level 1."/>
    <w:basedOn w:val="Normal"/>
    <w:next w:val="Normal"/>
    <w:qFormat/>
    <w:pPr>
      <w:keepNext/>
      <w:jc w:val="center"/>
      <w:outlineLvl w:val="5"/>
    </w:pPr>
    <w:rPr>
      <w:b/>
    </w:rPr>
  </w:style>
  <w:style w:type="paragraph" w:styleId="Heading7">
    <w:name w:val="heading 7"/>
    <w:aliases w:val="Legal Level 1.1."/>
    <w:basedOn w:val="Normal"/>
    <w:next w:val="Normal"/>
    <w:qFormat/>
    <w:pPr>
      <w:keepNext/>
      <w:tabs>
        <w:tab w:val="left" w:pos="720"/>
        <w:tab w:val="right" w:pos="8820"/>
      </w:tabs>
      <w:ind w:left="720"/>
      <w:jc w:val="both"/>
      <w:outlineLvl w:val="6"/>
    </w:pPr>
    <w:rPr>
      <w:b/>
    </w:rPr>
  </w:style>
  <w:style w:type="paragraph" w:styleId="Heading8">
    <w:name w:val="heading 8"/>
    <w:aliases w:val="Legal Level 1.1.1."/>
    <w:basedOn w:val="Normal"/>
    <w:next w:val="Normal"/>
    <w:qFormat/>
    <w:pPr>
      <w:keepNext/>
      <w:jc w:val="both"/>
      <w:outlineLvl w:val="7"/>
    </w:pPr>
    <w:rPr>
      <w:i/>
    </w:rPr>
  </w:style>
  <w:style w:type="paragraph" w:styleId="Heading9">
    <w:name w:val="heading 9"/>
    <w:aliases w:val="Legal Level 1.1.1.1."/>
    <w:basedOn w:val="Normal"/>
    <w:next w:val="Normal"/>
    <w:qFormat/>
    <w:pPr>
      <w:keepNext/>
      <w:ind w:firstLine="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aliases w:val="Header5"/>
    <w:basedOn w:val="Normal"/>
    <w:link w:val="HeaderChar"/>
    <w:pPr>
      <w:tabs>
        <w:tab w:val="left" w:pos="1315"/>
      </w:tabs>
    </w:pPr>
    <w:rPr>
      <w:rFonts w:ascii="Arial" w:hAnsi="Arial"/>
      <w:b/>
      <w:sz w:val="28"/>
    </w:rPr>
  </w:style>
  <w:style w:type="paragraph" w:styleId="Footer">
    <w:name w:val="footer"/>
    <w:basedOn w:val="Normal"/>
    <w:semiHidden/>
    <w:pPr>
      <w:tabs>
        <w:tab w:val="center" w:pos="4153"/>
        <w:tab w:val="right" w:pos="8306"/>
      </w:tabs>
    </w:pPr>
    <w:rPr>
      <w:sz w:val="20"/>
    </w:rPr>
  </w:style>
  <w:style w:type="character" w:styleId="PageNumber">
    <w:name w:val="page number"/>
    <w:basedOn w:val="DefaultParagraphFont"/>
    <w:semiHidden/>
  </w:style>
  <w:style w:type="paragraph" w:customStyle="1" w:styleId="Style3">
    <w:name w:val="Style3"/>
    <w:basedOn w:val="Header"/>
    <w:rPr>
      <w:b w:val="0"/>
    </w:rPr>
  </w:style>
  <w:style w:type="paragraph" w:styleId="BodyText">
    <w:name w:val="Body Text"/>
    <w:basedOn w:val="Normal"/>
    <w:semiHidden/>
    <w:pPr>
      <w:jc w:val="center"/>
    </w:pPr>
    <w:rPr>
      <w:b/>
      <w:sz w:val="32"/>
    </w:rPr>
  </w:style>
  <w:style w:type="paragraph" w:styleId="BodyText2">
    <w:name w:val="Body Text 2"/>
    <w:basedOn w:val="Normal"/>
    <w:semiHidden/>
    <w:pPr>
      <w:jc w:val="both"/>
    </w:pPr>
  </w:style>
  <w:style w:type="paragraph" w:styleId="BodyTextIndent">
    <w:name w:val="Body Text Indent"/>
    <w:basedOn w:val="Normal"/>
    <w:semiHidden/>
    <w:pPr>
      <w:tabs>
        <w:tab w:val="left" w:pos="720"/>
      </w:tabs>
      <w:ind w:left="720" w:hanging="72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firstLine="720"/>
      <w:jc w:val="both"/>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ind w:right="612"/>
      <w:jc w:val="both"/>
    </w:pPr>
    <w:rPr>
      <w:rFonts w:ascii="Arial" w:hAnsi="Arial"/>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customStyle="1" w:styleId="Confidentiality">
    <w:name w:val="Confidentiality"/>
    <w:basedOn w:val="Normal"/>
    <w:pPr>
      <w:spacing w:after="240"/>
    </w:pPr>
    <w:rPr>
      <w:rFonts w:ascii="Arial" w:hAnsi="Arial"/>
      <w:b/>
      <w:i/>
      <w:spacing w:val="4"/>
      <w:sz w:val="21"/>
    </w:rPr>
  </w:style>
  <w:style w:type="paragraph" w:customStyle="1" w:styleId="Section2">
    <w:name w:val="Section2"/>
    <w:basedOn w:val="Header"/>
    <w:rPr>
      <w:b w:val="0"/>
      <w:i/>
      <w:sz w:val="24"/>
    </w:rPr>
  </w:style>
  <w:style w:type="paragraph" w:customStyle="1" w:styleId="yesaheading">
    <w:name w:val="yesaheading"/>
    <w:basedOn w:val="Normal"/>
    <w:pPr>
      <w:numPr>
        <w:numId w:val="2"/>
      </w:numPr>
      <w:jc w:val="both"/>
    </w:pPr>
    <w:rPr>
      <w:rFonts w:ascii="Arial" w:hAnsi="Arial"/>
      <w:b/>
      <w:sz w:val="20"/>
    </w:rPr>
  </w:style>
  <w:style w:type="paragraph" w:customStyle="1" w:styleId="Section1">
    <w:name w:val="Section1"/>
    <w:basedOn w:val="Header"/>
    <w:link w:val="Section1Char"/>
    <w:rPr>
      <w:b w:val="0"/>
      <w:i/>
      <w:sz w:val="24"/>
    </w:rPr>
  </w:style>
  <w:style w:type="paragraph" w:customStyle="1" w:styleId="Section3">
    <w:name w:val="Section3"/>
    <w:basedOn w:val="Header"/>
    <w:pPr>
      <w:tabs>
        <w:tab w:val="clear" w:pos="1315"/>
        <w:tab w:val="left" w:pos="1134"/>
      </w:tabs>
    </w:pPr>
    <w:rPr>
      <w:b w:val="0"/>
      <w:i/>
      <w:sz w:val="24"/>
    </w:rPr>
  </w:style>
  <w:style w:type="paragraph" w:customStyle="1" w:styleId="Section4">
    <w:name w:val="Section4"/>
    <w:basedOn w:val="Header"/>
    <w:rPr>
      <w:b w:val="0"/>
      <w:i/>
      <w:sz w:val="24"/>
    </w:rPr>
  </w:style>
  <w:style w:type="paragraph" w:customStyle="1" w:styleId="Section5">
    <w:name w:val="Section5"/>
    <w:basedOn w:val="Header"/>
    <w:rPr>
      <w:b w:val="0"/>
      <w:i/>
      <w:sz w:val="24"/>
    </w:rPr>
  </w:style>
  <w:style w:type="paragraph" w:customStyle="1" w:styleId="Section6">
    <w:name w:val="Section6"/>
    <w:basedOn w:val="Header"/>
    <w:rPr>
      <w:b w:val="0"/>
      <w:i/>
      <w:sz w:val="24"/>
    </w:rPr>
  </w:style>
  <w:style w:type="paragraph" w:customStyle="1" w:styleId="Section7">
    <w:name w:val="Section7"/>
    <w:basedOn w:val="Header"/>
    <w:pPr>
      <w:tabs>
        <w:tab w:val="clear" w:pos="1315"/>
        <w:tab w:val="left" w:pos="1134"/>
      </w:tabs>
    </w:pPr>
    <w:rPr>
      <w:b w:val="0"/>
      <w:i/>
      <w:sz w:val="24"/>
    </w:rPr>
  </w:style>
  <w:style w:type="paragraph" w:customStyle="1" w:styleId="Section8">
    <w:name w:val="Section8"/>
    <w:basedOn w:val="Header"/>
    <w:pPr>
      <w:tabs>
        <w:tab w:val="clear" w:pos="1315"/>
        <w:tab w:val="left" w:pos="1134"/>
      </w:tabs>
    </w:pPr>
    <w:rPr>
      <w:b w:val="0"/>
      <w:i/>
      <w:sz w:val="24"/>
    </w:rPr>
  </w:style>
  <w:style w:type="paragraph" w:customStyle="1" w:styleId="Section9">
    <w:name w:val="Section9"/>
    <w:basedOn w:val="Header"/>
    <w:pPr>
      <w:tabs>
        <w:tab w:val="clear" w:pos="1315"/>
        <w:tab w:val="left" w:pos="1134"/>
      </w:tabs>
    </w:pPr>
    <w:rPr>
      <w:b w:val="0"/>
      <w:i/>
      <w:sz w:val="24"/>
    </w:rPr>
  </w:style>
  <w:style w:type="paragraph" w:customStyle="1" w:styleId="Section10">
    <w:name w:val="Section10"/>
    <w:basedOn w:val="Header"/>
    <w:pPr>
      <w:tabs>
        <w:tab w:val="clear" w:pos="1315"/>
        <w:tab w:val="left" w:pos="1134"/>
      </w:tabs>
    </w:pPr>
    <w:rPr>
      <w:b w:val="0"/>
      <w:i/>
      <w:sz w:val="24"/>
    </w:rPr>
  </w:style>
  <w:style w:type="paragraph" w:customStyle="1" w:styleId="Section11">
    <w:name w:val="Section11"/>
    <w:basedOn w:val="Header"/>
    <w:pPr>
      <w:tabs>
        <w:tab w:val="clear" w:pos="1315"/>
        <w:tab w:val="left" w:pos="1134"/>
      </w:tabs>
    </w:pPr>
    <w:rPr>
      <w:b w:val="0"/>
      <w:i/>
      <w:sz w:val="24"/>
    </w:rPr>
  </w:style>
  <w:style w:type="paragraph" w:customStyle="1" w:styleId="Section12">
    <w:name w:val="Section12"/>
    <w:basedOn w:val="Header"/>
    <w:pPr>
      <w:tabs>
        <w:tab w:val="clear" w:pos="1315"/>
        <w:tab w:val="left" w:pos="1134"/>
      </w:tabs>
    </w:pPr>
    <w:rPr>
      <w:b w:val="0"/>
      <w:i/>
      <w:sz w:val="24"/>
    </w:rPr>
  </w:style>
  <w:style w:type="paragraph" w:styleId="TOC2">
    <w:name w:val="toc 2"/>
    <w:basedOn w:val="Normal"/>
    <w:next w:val="Normal"/>
    <w:autoRedefine/>
    <w:pPr>
      <w:ind w:left="240"/>
    </w:pPr>
    <w:rPr>
      <w:rFonts w:asciiTheme="minorHAnsi" w:hAnsiTheme="minorHAnsi" w:cstheme="minorHAnsi"/>
      <w:smallCaps/>
      <w:sz w:val="20"/>
    </w:rPr>
  </w:style>
  <w:style w:type="paragraph" w:styleId="TOC1">
    <w:name w:val="toc 1"/>
    <w:basedOn w:val="Section1"/>
    <w:next w:val="Normal"/>
    <w:link w:val="TOC1Char"/>
    <w:autoRedefine/>
    <w:pPr>
      <w:tabs>
        <w:tab w:val="clear" w:pos="1315"/>
      </w:tabs>
      <w:spacing w:before="120" w:after="120"/>
    </w:pPr>
    <w:rPr>
      <w:rFonts w:asciiTheme="minorHAnsi" w:hAnsiTheme="minorHAnsi" w:cstheme="minorHAnsi"/>
      <w:b/>
      <w:bCs/>
      <w:i w:val="0"/>
      <w:caps/>
      <w:sz w:val="20"/>
    </w:rPr>
  </w:style>
  <w:style w:type="paragraph" w:styleId="TOC3">
    <w:name w:val="toc 3"/>
    <w:basedOn w:val="Normal"/>
    <w:next w:val="Normal"/>
    <w:autoRedefine/>
    <w:pPr>
      <w:ind w:left="480"/>
    </w:pPr>
    <w:rPr>
      <w:rFonts w:asciiTheme="minorHAnsi" w:hAnsiTheme="minorHAnsi" w:cstheme="minorHAnsi"/>
      <w:i/>
      <w:iCs/>
      <w:sz w:val="20"/>
    </w:r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character" w:styleId="Hyperlink">
    <w:name w:val="Hyperlink"/>
    <w:rPr>
      <w:color w:val="0000FF"/>
      <w:u w:val="single"/>
    </w:rPr>
  </w:style>
  <w:style w:type="character" w:customStyle="1" w:styleId="DeltaViewInsertion">
    <w:name w:val="DeltaView Insertion"/>
    <w:rPr>
      <w:color w:val="0000FF"/>
      <w:spacing w:val="0"/>
      <w:u w:val="double"/>
    </w:rPr>
  </w:style>
  <w:style w:type="paragraph" w:customStyle="1" w:styleId="FWNL1">
    <w:name w:val="FWN_L1"/>
    <w:basedOn w:val="Normal"/>
    <w:pPr>
      <w:numPr>
        <w:numId w:val="1"/>
      </w:numPr>
      <w:spacing w:after="240"/>
      <w:jc w:val="both"/>
    </w:pPr>
  </w:style>
  <w:style w:type="paragraph" w:customStyle="1" w:styleId="FWNL2">
    <w:name w:val="FWN_L2"/>
    <w:basedOn w:val="FWNL1"/>
    <w:pPr>
      <w:numPr>
        <w:ilvl w:val="1"/>
      </w:numPr>
      <w:tabs>
        <w:tab w:val="clear" w:pos="720"/>
        <w:tab w:val="num" w:pos="360"/>
        <w:tab w:val="num" w:pos="1440"/>
        <w:tab w:val="num" w:pos="1500"/>
      </w:tabs>
      <w:ind w:left="1440" w:hanging="360"/>
    </w:pPr>
  </w:style>
  <w:style w:type="paragraph" w:customStyle="1" w:styleId="FWNL3">
    <w:name w:val="FWN_L3"/>
    <w:basedOn w:val="FWNL2"/>
    <w:pPr>
      <w:numPr>
        <w:ilvl w:val="2"/>
      </w:numPr>
      <w:tabs>
        <w:tab w:val="clear" w:pos="1440"/>
        <w:tab w:val="num" w:pos="360"/>
        <w:tab w:val="num" w:pos="2160"/>
        <w:tab w:val="num" w:pos="2220"/>
      </w:tabs>
      <w:ind w:left="2160" w:hanging="360"/>
    </w:pPr>
  </w:style>
  <w:style w:type="paragraph" w:customStyle="1" w:styleId="FWNL4">
    <w:name w:val="FWN_L4"/>
    <w:basedOn w:val="FWNL3"/>
    <w:pPr>
      <w:numPr>
        <w:ilvl w:val="3"/>
      </w:numPr>
      <w:tabs>
        <w:tab w:val="clear" w:pos="2160"/>
        <w:tab w:val="num" w:pos="360"/>
        <w:tab w:val="num" w:pos="1500"/>
        <w:tab w:val="num" w:pos="2880"/>
        <w:tab w:val="num" w:pos="2940"/>
      </w:tabs>
      <w:ind w:left="2880" w:hanging="360"/>
    </w:pPr>
  </w:style>
  <w:style w:type="paragraph" w:customStyle="1" w:styleId="FWNL5">
    <w:name w:val="FWN_L5"/>
    <w:basedOn w:val="FWNL4"/>
    <w:pPr>
      <w:numPr>
        <w:ilvl w:val="4"/>
      </w:numPr>
      <w:tabs>
        <w:tab w:val="clear" w:pos="2880"/>
        <w:tab w:val="num" w:pos="360"/>
        <w:tab w:val="num" w:pos="1500"/>
        <w:tab w:val="num" w:pos="3600"/>
        <w:tab w:val="num" w:pos="3660"/>
      </w:tabs>
      <w:ind w:left="3600" w:hanging="360"/>
    </w:pPr>
  </w:style>
  <w:style w:type="paragraph" w:customStyle="1" w:styleId="FWNL6">
    <w:name w:val="FWN_L6"/>
    <w:basedOn w:val="FWNL5"/>
    <w:pPr>
      <w:numPr>
        <w:ilvl w:val="5"/>
      </w:numPr>
      <w:tabs>
        <w:tab w:val="clear" w:pos="3600"/>
        <w:tab w:val="num" w:pos="360"/>
        <w:tab w:val="num" w:pos="1500"/>
        <w:tab w:val="num" w:pos="4320"/>
        <w:tab w:val="num" w:pos="4380"/>
      </w:tabs>
      <w:ind w:left="4320" w:hanging="360"/>
    </w:pPr>
  </w:style>
  <w:style w:type="paragraph" w:customStyle="1" w:styleId="FWNL7">
    <w:name w:val="FWN_L7"/>
    <w:basedOn w:val="FWNL6"/>
    <w:pPr>
      <w:numPr>
        <w:ilvl w:val="6"/>
      </w:numPr>
      <w:tabs>
        <w:tab w:val="clear" w:pos="4320"/>
        <w:tab w:val="num" w:pos="360"/>
        <w:tab w:val="num" w:pos="1500"/>
        <w:tab w:val="num" w:pos="5040"/>
        <w:tab w:val="num" w:pos="5100"/>
      </w:tabs>
      <w:ind w:left="5040" w:hanging="360"/>
    </w:pPr>
  </w:style>
  <w:style w:type="paragraph" w:customStyle="1" w:styleId="a">
    <w:name w:val="(a)"/>
    <w:basedOn w:val="BodyText"/>
    <w:pPr>
      <w:spacing w:after="240"/>
      <w:ind w:left="720" w:hanging="720"/>
      <w:jc w:val="both"/>
    </w:pPr>
    <w:rPr>
      <w:b w:val="0"/>
      <w:sz w:val="18"/>
    </w:rPr>
  </w:style>
  <w:style w:type="paragraph" w:customStyle="1" w:styleId="BodySingle">
    <w:name w:val="Body Single"/>
    <w:basedOn w:val="BodyText"/>
    <w:pPr>
      <w:spacing w:line="260" w:lineRule="atLeast"/>
      <w:jc w:val="left"/>
    </w:pPr>
    <w:rPr>
      <w:b w:val="0"/>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Title">
    <w:name w:val="Title"/>
    <w:basedOn w:val="Normal"/>
    <w:qFormat/>
    <w:pPr>
      <w:jc w:val="center"/>
    </w:pPr>
    <w:rPr>
      <w:b/>
      <w:sz w:val="28"/>
      <w14:shadow w14:blurRad="50800" w14:dist="38100" w14:dir="2700000" w14:sx="100000" w14:sy="100000" w14:kx="0" w14:ky="0" w14:algn="tl">
        <w14:srgbClr w14:val="000000">
          <w14:alpha w14:val="60000"/>
        </w14:srgbClr>
      </w14:shadow>
    </w:rPr>
  </w:style>
  <w:style w:type="character" w:styleId="Emphasis">
    <w:name w:val="Emphasis"/>
    <w:qFormat/>
    <w:rPr>
      <w:i/>
    </w:rPr>
  </w:style>
  <w:style w:type="paragraph" w:customStyle="1" w:styleId="QuarterlyBodyText">
    <w:name w:val="Quarterly BodyText"/>
    <w:basedOn w:val="Normal"/>
    <w:pPr>
      <w:tabs>
        <w:tab w:val="left" w:pos="3600"/>
      </w:tabs>
      <w:spacing w:after="240"/>
      <w:jc w:val="both"/>
    </w:pPr>
    <w:rPr>
      <w:color w:val="000000"/>
      <w:sz w:val="20"/>
    </w:rPr>
  </w:style>
  <w:style w:type="paragraph" w:styleId="BalloonText">
    <w:name w:val="Balloon Text"/>
    <w:basedOn w:val="Normal"/>
    <w:semiHidden/>
    <w:rPr>
      <w:rFonts w:ascii="Tahoma" w:hAnsi="Tahoma" w:cs="Times New Roman Bold"/>
      <w:sz w:val="16"/>
      <w:szCs w:val="16"/>
    </w:rPr>
  </w:style>
  <w:style w:type="paragraph" w:customStyle="1" w:styleId="Bulletheadings">
    <w:name w:val="Bullet headings"/>
    <w:basedOn w:val="Normal"/>
    <w:pPr>
      <w:ind w:left="560" w:hanging="560"/>
    </w:pPr>
    <w:rPr>
      <w:snapToGrid w:val="0"/>
      <w:color w:val="000000"/>
      <w:sz w:val="28"/>
    </w:rPr>
  </w:style>
  <w:style w:type="paragraph" w:customStyle="1" w:styleId="Style30">
    <w:name w:val="Style 3"/>
    <w:basedOn w:val="Normal"/>
    <w:pPr>
      <w:widowControl w:val="0"/>
      <w:autoSpaceDE w:val="0"/>
      <w:autoSpaceDN w:val="0"/>
      <w:spacing w:before="324"/>
    </w:pPr>
    <w:rPr>
      <w:sz w:val="20"/>
      <w:szCs w:val="24"/>
      <w:lang w:val="en-US"/>
    </w:rPr>
  </w:style>
  <w:style w:type="paragraph" w:customStyle="1" w:styleId="a-head-1">
    <w:name w:val="a-head-1"/>
    <w:rPr>
      <w:rFonts w:ascii="Arial" w:hAnsi="Arial"/>
      <w:b/>
      <w:sz w:val="36"/>
      <w:szCs w:val="36"/>
      <w:lang w:val="en-GB" w:eastAsia="en-US"/>
    </w:rPr>
  </w:style>
  <w:style w:type="character" w:styleId="Strong">
    <w:name w:val="Strong"/>
    <w:qFormat/>
    <w:rPr>
      <w:b/>
    </w:rPr>
  </w:style>
  <w:style w:type="character" w:styleId="FollowedHyperlink">
    <w:name w:val="FollowedHyperlink"/>
    <w:semiHidden/>
    <w:rPr>
      <w:color w:val="800080"/>
      <w:u w:val="single"/>
    </w:rPr>
  </w:style>
  <w:style w:type="paragraph" w:customStyle="1" w:styleId="apt">
    <w:name w:val="apt"/>
    <w:basedOn w:val="Normal"/>
    <w:pPr>
      <w:tabs>
        <w:tab w:val="left" w:pos="720"/>
      </w:tabs>
      <w:jc w:val="both"/>
    </w:pPr>
    <w:rPr>
      <w:b/>
      <w:sz w:val="18"/>
    </w:rPr>
  </w:style>
  <w:style w:type="paragraph" w:customStyle="1" w:styleId="QuartelyHeading1">
    <w:name w:val="Quartely Heading 1"/>
    <w:basedOn w:val="QuarterlyBodyText"/>
    <w:next w:val="QuarterlyBodyText"/>
    <w:rPr>
      <w:rFonts w:ascii="Times New Roman Bold" w:hAnsi="Times New Roman Bold"/>
      <w:b/>
      <w:smallCaps/>
      <w:sz w:val="24"/>
      <w:lang w:eastAsia="en-US"/>
    </w:rPr>
  </w:style>
  <w:style w:type="paragraph" w:customStyle="1" w:styleId="QuarterlyHeading2">
    <w:name w:val="Quarterly Heading 2"/>
    <w:basedOn w:val="QuarterlyBodyText"/>
    <w:next w:val="QuarterlyBodyText"/>
    <w:rPr>
      <w:rFonts w:ascii="Times New Roman Bold" w:hAnsi="Times New Roman Bold"/>
      <w:b/>
      <w:sz w:val="24"/>
      <w:lang w:eastAsia="en-US"/>
    </w:rPr>
  </w:style>
  <w:style w:type="paragraph" w:customStyle="1" w:styleId="QuarterlyHeading3">
    <w:name w:val="Quarterly Heading 3"/>
    <w:basedOn w:val="QuarterlyBodyText"/>
    <w:next w:val="QuarterlyBodyText"/>
    <w:pPr>
      <w:tabs>
        <w:tab w:val="left" w:pos="357"/>
      </w:tabs>
    </w:pPr>
    <w:rPr>
      <w:rFonts w:ascii="Times New Roman Bold" w:hAnsi="Times New Roman Bold"/>
      <w:b/>
      <w:i/>
      <w:lang w:eastAsia="en-US"/>
    </w:rPr>
  </w:style>
  <w:style w:type="paragraph" w:customStyle="1" w:styleId="QuarterlyHeading4">
    <w:name w:val="Quarterly Heading 4"/>
    <w:basedOn w:val="QuarterlyHeading3"/>
    <w:next w:val="QuarterlyBodyText"/>
    <w:rPr>
      <w:rFonts w:ascii="Times New Roman" w:hAnsi="Times New Roman"/>
      <w:b w:val="0"/>
    </w:rPr>
  </w:style>
  <w:style w:type="paragraph" w:styleId="EndnoteText">
    <w:name w:val="endnote text"/>
    <w:basedOn w:val="Normal"/>
    <w:semiHidden/>
    <w:rPr>
      <w:sz w:val="20"/>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lockText">
    <w:name w:val="Block Text"/>
    <w:basedOn w:val="Normal"/>
    <w:semiHidden/>
    <w:pPr>
      <w:ind w:left="-142" w:right="-567"/>
      <w:jc w:val="both"/>
    </w:pPr>
    <w:rPr>
      <w:i/>
      <w:sz w:val="18"/>
    </w:rPr>
  </w:style>
  <w:style w:type="paragraph" w:customStyle="1" w:styleId="Default">
    <w:name w:val="Default"/>
    <w:rPr>
      <w:rFonts w:ascii="Vodafone Rg" w:hAnsi="Vodafone Rg"/>
      <w:snapToGrid w:val="0"/>
      <w:color w:val="000000"/>
      <w:sz w:val="24"/>
      <w:lang w:val="en-GB" w:eastAsia="en-US"/>
    </w:rPr>
  </w:style>
  <w:style w:type="character" w:styleId="EndnoteReference">
    <w:name w:val="endnote reference"/>
    <w:semiHidden/>
    <w:rPr>
      <w:vertAlign w:val="superscript"/>
    </w:rPr>
  </w:style>
  <w:style w:type="paragraph" w:styleId="ListParagraph">
    <w:name w:val="List Paragraph"/>
    <w:basedOn w:val="Normal"/>
    <w:qFormat/>
    <w:pPr>
      <w:ind w:left="720"/>
    </w:pPr>
  </w:style>
  <w:style w:type="paragraph" w:styleId="Revision">
    <w:name w:val="Revision"/>
    <w:hidden/>
    <w:semiHidden/>
    <w:rPr>
      <w:sz w:val="24"/>
      <w:lang w:val="en-GB" w:eastAsia="en-GB"/>
    </w:rPr>
  </w:style>
  <w:style w:type="paragraph" w:customStyle="1" w:styleId="quarterlyheading1">
    <w:name w:val="quarterly heading 1"/>
    <w:basedOn w:val="Header"/>
    <w:rsid w:val="00351014"/>
    <w:pPr>
      <w:outlineLvl w:val="0"/>
    </w:pPr>
    <w:rPr>
      <w:rFonts w:ascii="Times New Roman Bold" w:hAnsi="Times New Roman Bold"/>
      <w:smallCaps/>
      <w:color w:val="000000"/>
      <w:sz w:val="24"/>
    </w:rPr>
  </w:style>
  <w:style w:type="paragraph" w:styleId="NormalWeb">
    <w:name w:val="Normal (Web)"/>
    <w:basedOn w:val="Normal"/>
    <w:uiPriority w:val="99"/>
    <w:semiHidden/>
    <w:unhideWhenUsed/>
    <w:rsid w:val="00C81935"/>
    <w:pPr>
      <w:spacing w:before="100" w:beforeAutospacing="1" w:after="100" w:afterAutospacing="1"/>
    </w:pPr>
    <w:rPr>
      <w:rFonts w:eastAsiaTheme="minorHAnsi"/>
      <w:szCs w:val="24"/>
      <w:lang w:eastAsia="en-IE"/>
    </w:rPr>
  </w:style>
  <w:style w:type="character" w:customStyle="1" w:styleId="HeaderChar">
    <w:name w:val="Header Char"/>
    <w:aliases w:val="Header5 Char"/>
    <w:basedOn w:val="DefaultParagraphFont"/>
    <w:link w:val="Header"/>
    <w:rsid w:val="0022655E"/>
    <w:rPr>
      <w:rFonts w:ascii="Arial" w:hAnsi="Arial"/>
      <w:b/>
      <w:sz w:val="28"/>
      <w:lang w:val="en-GB" w:eastAsia="en-GB"/>
    </w:rPr>
  </w:style>
  <w:style w:type="paragraph" w:customStyle="1" w:styleId="Heading1BondDoc">
    <w:name w:val="Heading 1 Bond Doc"/>
    <w:basedOn w:val="Heading1"/>
    <w:rsid w:val="006E48F4"/>
    <w:pPr>
      <w:spacing w:before="240" w:after="60"/>
      <w:jc w:val="left"/>
    </w:pPr>
    <w:rPr>
      <w:rFonts w:ascii="Arial" w:hAnsi="Arial"/>
      <w:b w:val="0"/>
      <w:smallCaps w:val="0"/>
      <w:kern w:val="28"/>
      <w:sz w:val="28"/>
      <w:lang w:eastAsia="en-US"/>
    </w:rPr>
  </w:style>
  <w:style w:type="paragraph" w:styleId="TOCHeading">
    <w:name w:val="TOC Heading"/>
    <w:basedOn w:val="Heading1"/>
    <w:next w:val="Normal"/>
    <w:unhideWhenUsed/>
    <w:qFormat/>
    <w:rsid w:val="000C6162"/>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character" w:customStyle="1" w:styleId="Section1Char">
    <w:name w:val="Section1 Char"/>
    <w:basedOn w:val="HeaderChar"/>
    <w:link w:val="Section1"/>
    <w:rsid w:val="003010EF"/>
    <w:rPr>
      <w:rFonts w:ascii="Arial" w:hAnsi="Arial"/>
      <w:b w:val="0"/>
      <w:i/>
      <w:sz w:val="24"/>
      <w:lang w:val="en-GB" w:eastAsia="en-GB"/>
    </w:rPr>
  </w:style>
  <w:style w:type="character" w:customStyle="1" w:styleId="TOC1Char">
    <w:name w:val="TOC 1 Char"/>
    <w:basedOn w:val="Section1Char"/>
    <w:link w:val="TOC1"/>
    <w:rsid w:val="003010EF"/>
    <w:rPr>
      <w:rFonts w:asciiTheme="minorHAnsi" w:hAnsiTheme="minorHAnsi" w:cstheme="minorHAnsi"/>
      <w:b/>
      <w:bCs/>
      <w:i w:val="0"/>
      <w:caps/>
      <w:sz w:val="24"/>
      <w:lang w:val="en-GB" w:eastAsia="en-GB"/>
    </w:rPr>
  </w:style>
  <w:style w:type="paragraph" w:styleId="CommentSubject">
    <w:name w:val="annotation subject"/>
    <w:basedOn w:val="CommentText"/>
    <w:next w:val="CommentText"/>
    <w:link w:val="CommentSubjectChar"/>
    <w:semiHidden/>
    <w:unhideWhenUsed/>
    <w:rsid w:val="009D05C6"/>
    <w:rPr>
      <w:b/>
      <w:bCs/>
    </w:rPr>
  </w:style>
  <w:style w:type="character" w:customStyle="1" w:styleId="CommentTextChar">
    <w:name w:val="Comment Text Char"/>
    <w:basedOn w:val="DefaultParagraphFont"/>
    <w:link w:val="CommentText"/>
    <w:semiHidden/>
    <w:rsid w:val="009D05C6"/>
    <w:rPr>
      <w:lang w:val="en-GB" w:eastAsia="en-GB"/>
    </w:rPr>
  </w:style>
  <w:style w:type="character" w:customStyle="1" w:styleId="CommentSubjectChar">
    <w:name w:val="Comment Subject Char"/>
    <w:basedOn w:val="CommentTextChar"/>
    <w:link w:val="CommentSubject"/>
    <w:semiHidden/>
    <w:rsid w:val="009D05C6"/>
    <w:rPr>
      <w:b/>
      <w:bCs/>
      <w:lang w:val="en-GB" w:eastAsia="en-GB"/>
    </w:rPr>
  </w:style>
  <w:style w:type="character" w:customStyle="1" w:styleId="st1">
    <w:name w:val="st1"/>
    <w:basedOn w:val="DefaultParagraphFont"/>
    <w:rsid w:val="006705E8"/>
  </w:style>
  <w:style w:type="character" w:customStyle="1" w:styleId="FootnoteTextChar">
    <w:name w:val="Footnote Text Char"/>
    <w:basedOn w:val="DefaultParagraphFont"/>
    <w:link w:val="FootnoteText"/>
    <w:semiHidden/>
    <w:rsid w:val="00D22E8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357">
      <w:bodyDiv w:val="1"/>
      <w:marLeft w:val="0"/>
      <w:marRight w:val="0"/>
      <w:marTop w:val="0"/>
      <w:marBottom w:val="0"/>
      <w:divBdr>
        <w:top w:val="none" w:sz="0" w:space="0" w:color="auto"/>
        <w:left w:val="none" w:sz="0" w:space="0" w:color="auto"/>
        <w:bottom w:val="none" w:sz="0" w:space="0" w:color="auto"/>
        <w:right w:val="none" w:sz="0" w:space="0" w:color="auto"/>
      </w:divBdr>
    </w:div>
    <w:div w:id="102001932">
      <w:bodyDiv w:val="1"/>
      <w:marLeft w:val="0"/>
      <w:marRight w:val="0"/>
      <w:marTop w:val="0"/>
      <w:marBottom w:val="0"/>
      <w:divBdr>
        <w:top w:val="none" w:sz="0" w:space="0" w:color="auto"/>
        <w:left w:val="none" w:sz="0" w:space="0" w:color="auto"/>
        <w:bottom w:val="none" w:sz="0" w:space="0" w:color="auto"/>
        <w:right w:val="none" w:sz="0" w:space="0" w:color="auto"/>
      </w:divBdr>
    </w:div>
    <w:div w:id="236214333">
      <w:bodyDiv w:val="1"/>
      <w:marLeft w:val="0"/>
      <w:marRight w:val="0"/>
      <w:marTop w:val="0"/>
      <w:marBottom w:val="0"/>
      <w:divBdr>
        <w:top w:val="none" w:sz="0" w:space="0" w:color="auto"/>
        <w:left w:val="none" w:sz="0" w:space="0" w:color="auto"/>
        <w:bottom w:val="none" w:sz="0" w:space="0" w:color="auto"/>
        <w:right w:val="none" w:sz="0" w:space="0" w:color="auto"/>
      </w:divBdr>
    </w:div>
    <w:div w:id="486243573">
      <w:bodyDiv w:val="1"/>
      <w:marLeft w:val="0"/>
      <w:marRight w:val="0"/>
      <w:marTop w:val="0"/>
      <w:marBottom w:val="0"/>
      <w:divBdr>
        <w:top w:val="none" w:sz="0" w:space="0" w:color="auto"/>
        <w:left w:val="none" w:sz="0" w:space="0" w:color="auto"/>
        <w:bottom w:val="none" w:sz="0" w:space="0" w:color="auto"/>
        <w:right w:val="none" w:sz="0" w:space="0" w:color="auto"/>
      </w:divBdr>
    </w:div>
    <w:div w:id="520700409">
      <w:bodyDiv w:val="1"/>
      <w:marLeft w:val="0"/>
      <w:marRight w:val="0"/>
      <w:marTop w:val="0"/>
      <w:marBottom w:val="0"/>
      <w:divBdr>
        <w:top w:val="none" w:sz="0" w:space="0" w:color="auto"/>
        <w:left w:val="none" w:sz="0" w:space="0" w:color="auto"/>
        <w:bottom w:val="none" w:sz="0" w:space="0" w:color="auto"/>
        <w:right w:val="none" w:sz="0" w:space="0" w:color="auto"/>
      </w:divBdr>
    </w:div>
    <w:div w:id="700403735">
      <w:bodyDiv w:val="1"/>
      <w:marLeft w:val="0"/>
      <w:marRight w:val="0"/>
      <w:marTop w:val="0"/>
      <w:marBottom w:val="0"/>
      <w:divBdr>
        <w:top w:val="none" w:sz="0" w:space="0" w:color="auto"/>
        <w:left w:val="none" w:sz="0" w:space="0" w:color="auto"/>
        <w:bottom w:val="none" w:sz="0" w:space="0" w:color="auto"/>
        <w:right w:val="none" w:sz="0" w:space="0" w:color="auto"/>
      </w:divBdr>
    </w:div>
    <w:div w:id="845631855">
      <w:bodyDiv w:val="1"/>
      <w:marLeft w:val="0"/>
      <w:marRight w:val="0"/>
      <w:marTop w:val="0"/>
      <w:marBottom w:val="0"/>
      <w:divBdr>
        <w:top w:val="none" w:sz="0" w:space="0" w:color="auto"/>
        <w:left w:val="none" w:sz="0" w:space="0" w:color="auto"/>
        <w:bottom w:val="none" w:sz="0" w:space="0" w:color="auto"/>
        <w:right w:val="none" w:sz="0" w:space="0" w:color="auto"/>
      </w:divBdr>
    </w:div>
    <w:div w:id="917640595">
      <w:bodyDiv w:val="1"/>
      <w:marLeft w:val="0"/>
      <w:marRight w:val="0"/>
      <w:marTop w:val="0"/>
      <w:marBottom w:val="0"/>
      <w:divBdr>
        <w:top w:val="none" w:sz="0" w:space="0" w:color="auto"/>
        <w:left w:val="none" w:sz="0" w:space="0" w:color="auto"/>
        <w:bottom w:val="none" w:sz="0" w:space="0" w:color="auto"/>
        <w:right w:val="none" w:sz="0" w:space="0" w:color="auto"/>
      </w:divBdr>
    </w:div>
    <w:div w:id="1054160800">
      <w:bodyDiv w:val="1"/>
      <w:marLeft w:val="0"/>
      <w:marRight w:val="0"/>
      <w:marTop w:val="0"/>
      <w:marBottom w:val="0"/>
      <w:divBdr>
        <w:top w:val="none" w:sz="0" w:space="0" w:color="auto"/>
        <w:left w:val="none" w:sz="0" w:space="0" w:color="auto"/>
        <w:bottom w:val="none" w:sz="0" w:space="0" w:color="auto"/>
        <w:right w:val="none" w:sz="0" w:space="0" w:color="auto"/>
      </w:divBdr>
    </w:div>
    <w:div w:id="1156721282">
      <w:bodyDiv w:val="1"/>
      <w:marLeft w:val="0"/>
      <w:marRight w:val="0"/>
      <w:marTop w:val="0"/>
      <w:marBottom w:val="0"/>
      <w:divBdr>
        <w:top w:val="none" w:sz="0" w:space="0" w:color="auto"/>
        <w:left w:val="none" w:sz="0" w:space="0" w:color="auto"/>
        <w:bottom w:val="none" w:sz="0" w:space="0" w:color="auto"/>
        <w:right w:val="none" w:sz="0" w:space="0" w:color="auto"/>
      </w:divBdr>
    </w:div>
    <w:div w:id="1250889931">
      <w:bodyDiv w:val="1"/>
      <w:marLeft w:val="0"/>
      <w:marRight w:val="0"/>
      <w:marTop w:val="0"/>
      <w:marBottom w:val="0"/>
      <w:divBdr>
        <w:top w:val="none" w:sz="0" w:space="0" w:color="auto"/>
        <w:left w:val="none" w:sz="0" w:space="0" w:color="auto"/>
        <w:bottom w:val="none" w:sz="0" w:space="0" w:color="auto"/>
        <w:right w:val="none" w:sz="0" w:space="0" w:color="auto"/>
      </w:divBdr>
    </w:div>
    <w:div w:id="1263995767">
      <w:bodyDiv w:val="1"/>
      <w:marLeft w:val="0"/>
      <w:marRight w:val="0"/>
      <w:marTop w:val="0"/>
      <w:marBottom w:val="0"/>
      <w:divBdr>
        <w:top w:val="none" w:sz="0" w:space="0" w:color="auto"/>
        <w:left w:val="none" w:sz="0" w:space="0" w:color="auto"/>
        <w:bottom w:val="none" w:sz="0" w:space="0" w:color="auto"/>
        <w:right w:val="none" w:sz="0" w:space="0" w:color="auto"/>
      </w:divBdr>
    </w:div>
    <w:div w:id="1299064738">
      <w:bodyDiv w:val="1"/>
      <w:marLeft w:val="0"/>
      <w:marRight w:val="0"/>
      <w:marTop w:val="0"/>
      <w:marBottom w:val="0"/>
      <w:divBdr>
        <w:top w:val="none" w:sz="0" w:space="0" w:color="auto"/>
        <w:left w:val="none" w:sz="0" w:space="0" w:color="auto"/>
        <w:bottom w:val="none" w:sz="0" w:space="0" w:color="auto"/>
        <w:right w:val="none" w:sz="0" w:space="0" w:color="auto"/>
      </w:divBdr>
    </w:div>
    <w:div w:id="1429883162">
      <w:bodyDiv w:val="1"/>
      <w:marLeft w:val="0"/>
      <w:marRight w:val="0"/>
      <w:marTop w:val="0"/>
      <w:marBottom w:val="0"/>
      <w:divBdr>
        <w:top w:val="none" w:sz="0" w:space="0" w:color="auto"/>
        <w:left w:val="none" w:sz="0" w:space="0" w:color="auto"/>
        <w:bottom w:val="none" w:sz="0" w:space="0" w:color="auto"/>
        <w:right w:val="none" w:sz="0" w:space="0" w:color="auto"/>
      </w:divBdr>
    </w:div>
    <w:div w:id="1466579500">
      <w:bodyDiv w:val="1"/>
      <w:marLeft w:val="0"/>
      <w:marRight w:val="0"/>
      <w:marTop w:val="0"/>
      <w:marBottom w:val="0"/>
      <w:divBdr>
        <w:top w:val="none" w:sz="0" w:space="0" w:color="auto"/>
        <w:left w:val="none" w:sz="0" w:space="0" w:color="auto"/>
        <w:bottom w:val="none" w:sz="0" w:space="0" w:color="auto"/>
        <w:right w:val="none" w:sz="0" w:space="0" w:color="auto"/>
      </w:divBdr>
    </w:div>
    <w:div w:id="1721634197">
      <w:bodyDiv w:val="1"/>
      <w:marLeft w:val="0"/>
      <w:marRight w:val="0"/>
      <w:marTop w:val="0"/>
      <w:marBottom w:val="0"/>
      <w:divBdr>
        <w:top w:val="none" w:sz="0" w:space="0" w:color="auto"/>
        <w:left w:val="none" w:sz="0" w:space="0" w:color="auto"/>
        <w:bottom w:val="none" w:sz="0" w:space="0" w:color="auto"/>
        <w:right w:val="none" w:sz="0" w:space="0" w:color="auto"/>
      </w:divBdr>
    </w:div>
    <w:div w:id="1819107281">
      <w:bodyDiv w:val="1"/>
      <w:marLeft w:val="0"/>
      <w:marRight w:val="0"/>
      <w:marTop w:val="0"/>
      <w:marBottom w:val="0"/>
      <w:divBdr>
        <w:top w:val="none" w:sz="0" w:space="0" w:color="auto"/>
        <w:left w:val="none" w:sz="0" w:space="0" w:color="auto"/>
        <w:bottom w:val="none" w:sz="0" w:space="0" w:color="auto"/>
        <w:right w:val="none" w:sz="0" w:space="0" w:color="auto"/>
      </w:divBdr>
    </w:div>
    <w:div w:id="1862083012">
      <w:bodyDiv w:val="1"/>
      <w:marLeft w:val="0"/>
      <w:marRight w:val="0"/>
      <w:marTop w:val="0"/>
      <w:marBottom w:val="0"/>
      <w:divBdr>
        <w:top w:val="none" w:sz="0" w:space="0" w:color="auto"/>
        <w:left w:val="none" w:sz="0" w:space="0" w:color="auto"/>
        <w:bottom w:val="none" w:sz="0" w:space="0" w:color="auto"/>
        <w:right w:val="none" w:sz="0" w:space="0" w:color="auto"/>
      </w:divBdr>
    </w:div>
    <w:div w:id="1876770562">
      <w:bodyDiv w:val="1"/>
      <w:marLeft w:val="0"/>
      <w:marRight w:val="0"/>
      <w:marTop w:val="0"/>
      <w:marBottom w:val="0"/>
      <w:divBdr>
        <w:top w:val="none" w:sz="0" w:space="0" w:color="auto"/>
        <w:left w:val="none" w:sz="0" w:space="0" w:color="auto"/>
        <w:bottom w:val="none" w:sz="0" w:space="0" w:color="auto"/>
        <w:right w:val="none" w:sz="0" w:space="0" w:color="auto"/>
      </w:divBdr>
    </w:div>
    <w:div w:id="1900703563">
      <w:bodyDiv w:val="1"/>
      <w:marLeft w:val="0"/>
      <w:marRight w:val="0"/>
      <w:marTop w:val="0"/>
      <w:marBottom w:val="0"/>
      <w:divBdr>
        <w:top w:val="none" w:sz="0" w:space="0" w:color="auto"/>
        <w:left w:val="none" w:sz="0" w:space="0" w:color="auto"/>
        <w:bottom w:val="none" w:sz="0" w:space="0" w:color="auto"/>
        <w:right w:val="none" w:sz="0" w:space="0" w:color="auto"/>
      </w:divBdr>
    </w:div>
    <w:div w:id="1947691112">
      <w:bodyDiv w:val="1"/>
      <w:marLeft w:val="0"/>
      <w:marRight w:val="0"/>
      <w:marTop w:val="0"/>
      <w:marBottom w:val="0"/>
      <w:divBdr>
        <w:top w:val="none" w:sz="0" w:space="0" w:color="auto"/>
        <w:left w:val="none" w:sz="0" w:space="0" w:color="auto"/>
        <w:bottom w:val="none" w:sz="0" w:space="0" w:color="auto"/>
        <w:right w:val="none" w:sz="0" w:space="0" w:color="auto"/>
      </w:divBdr>
    </w:div>
    <w:div w:id="20472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storrelations.eircom.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ian.bell@ogilvy.com" TargetMode="External"/><Relationship Id="rId4" Type="http://schemas.microsoft.com/office/2007/relationships/stylesWithEffects" Target="stylesWithEffects.xml"/><Relationship Id="rId9" Type="http://schemas.openxmlformats.org/officeDocument/2006/relationships/hyperlink" Target="mailto:Paul_bradley@eircom.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99AF-81D0-40CA-B670-7F4ECEAC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EIRCOM PLC</vt:lpstr>
    </vt:vector>
  </TitlesOfParts>
  <Company>Price Waterhouse</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EIRCOM PLC</dc:title>
  <dc:creator>SFTUser</dc:creator>
  <cp:lastModifiedBy>Bradley, Paul H</cp:lastModifiedBy>
  <cp:revision>2</cp:revision>
  <cp:lastPrinted>2014-02-06T22:26:00Z</cp:lastPrinted>
  <dcterms:created xsi:type="dcterms:W3CDTF">2014-02-06T23:21:00Z</dcterms:created>
  <dcterms:modified xsi:type="dcterms:W3CDTF">2014-02-06T23:21:00Z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-591706499</vt:i4>
  </property>
</Properties>
</file>